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6646B59D" w:rsidR="000A03B2" w:rsidRPr="00B57B36" w:rsidRDefault="00321AB5" w:rsidP="00DE264A">
            <w:pPr>
              <w:tabs>
                <w:tab w:val="left" w:pos="-108"/>
              </w:tabs>
              <w:ind w:left="-108"/>
              <w:jc w:val="left"/>
              <w:rPr>
                <w:rFonts w:cs="Arial"/>
                <w:b/>
                <w:bCs/>
                <w:i/>
                <w:iCs/>
                <w:color w:val="000066"/>
                <w:sz w:val="12"/>
                <w:szCs w:val="12"/>
                <w:lang w:eastAsia="it-IT"/>
              </w:rPr>
            </w:pPr>
            <w:bookmarkStart w:id="0" w:name="_Hlk145068772"/>
            <w:r>
              <w:rPr>
                <w:rFonts w:ascii="AdvP6960" w:hAnsi="AdvP6960" w:cs="AdvP6960"/>
                <w:color w:val="241F20"/>
                <w:szCs w:val="18"/>
                <w:lang w:eastAsia="it-IT"/>
              </w:rPr>
              <w:t>_ICI</w:t>
            </w:r>
            <w:r w:rsidR="000A03B2"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000A03B2" w:rsidRPr="00B57B36">
              <w:rPr>
                <w:rFonts w:ascii="AdvP6960" w:hAnsi="AdvP6960" w:cs="AdvP6960"/>
                <w:color w:val="241F20"/>
                <w:szCs w:val="18"/>
                <w:lang w:eastAsia="it-IT"/>
              </w:rPr>
              <w:t xml:space="preserve"> </w:t>
            </w:r>
            <w:r w:rsidR="000A03B2" w:rsidRPr="00B57B36">
              <w:rPr>
                <w:rFonts w:cs="Arial"/>
                <w:b/>
                <w:bCs/>
                <w:i/>
                <w:iCs/>
                <w:color w:val="000066"/>
                <w:sz w:val="24"/>
                <w:szCs w:val="24"/>
                <w:lang w:eastAsia="it-IT"/>
              </w:rPr>
              <w:t>CHEMICAL ENGINEERING</w:t>
            </w:r>
            <w:r w:rsidR="000A03B2" w:rsidRPr="00B57B36">
              <w:rPr>
                <w:rFonts w:cs="Arial"/>
                <w:b/>
                <w:bCs/>
                <w:i/>
                <w:iCs/>
                <w:color w:val="0033FF"/>
                <w:sz w:val="24"/>
                <w:szCs w:val="24"/>
                <w:lang w:eastAsia="it-IT"/>
              </w:rPr>
              <w:t xml:space="preserve"> </w:t>
            </w:r>
            <w:r w:rsidR="000A03B2" w:rsidRPr="00B57B36">
              <w:rPr>
                <w:rFonts w:cs="Arial"/>
                <w:b/>
                <w:bCs/>
                <w:i/>
                <w:iCs/>
                <w:color w:val="666666"/>
                <w:sz w:val="24"/>
                <w:szCs w:val="24"/>
                <w:lang w:eastAsia="it-IT"/>
              </w:rPr>
              <w:t>TRANSACTIONS</w:t>
            </w:r>
            <w:r w:rsidR="000A03B2" w:rsidRPr="00B57B36">
              <w:rPr>
                <w:color w:val="333333"/>
                <w:sz w:val="24"/>
                <w:szCs w:val="24"/>
                <w:lang w:eastAsia="it-IT"/>
              </w:rPr>
              <w:t xml:space="preserve"> </w:t>
            </w:r>
            <w:r w:rsidR="000A03B2"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252289FB" w:rsidR="00AA7D26" w:rsidRPr="00005884" w:rsidRDefault="004A5E57" w:rsidP="004A5E57">
            <w:pPr>
              <w:ind w:left="-107"/>
              <w:outlineLvl w:val="2"/>
              <w:rPr>
                <w:rFonts w:ascii="Tahoma" w:hAnsi="Tahoma" w:cs="Tahoma"/>
                <w:bCs/>
                <w:color w:val="000000"/>
                <w:sz w:val="14"/>
                <w:szCs w:val="14"/>
                <w:lang w:val="it-IT" w:eastAsia="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005884" w:rsidRPr="00005884">
              <w:rPr>
                <w:rFonts w:ascii="Tahoma" w:hAnsi="Tahoma" w:cs="Tahoma"/>
                <w:color w:val="000000"/>
                <w:sz w:val="14"/>
                <w:szCs w:val="14"/>
                <w:shd w:val="clear" w:color="auto" w:fill="FFFFFF"/>
                <w:lang w:val="it-IT"/>
              </w:rPr>
              <w:t>Marco Bravi, Antonio Marzocchella, Giuseppe Caputo</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262DB081" w:rsidR="00E978D0" w:rsidRPr="00B57B36" w:rsidRDefault="003F6AE8" w:rsidP="00E978D0">
      <w:pPr>
        <w:pStyle w:val="CETTitle"/>
      </w:pPr>
      <w:r w:rsidRPr="003F6AE8">
        <w:t xml:space="preserve">Effect of anaerobic reactor </w:t>
      </w:r>
      <w:r w:rsidR="00FC005D">
        <w:t>compartmentalization</w:t>
      </w:r>
      <w:r w:rsidRPr="003F6AE8">
        <w:t xml:space="preserve"> on excess sludge </w:t>
      </w:r>
      <w:r w:rsidR="00FC005D">
        <w:t>reduction</w:t>
      </w:r>
      <w:r w:rsidRPr="003F6AE8">
        <w:t xml:space="preserve"> in ASSR-based systems</w:t>
      </w:r>
    </w:p>
    <w:p w14:paraId="0488FED2" w14:textId="21903777" w:rsidR="00B57E6F" w:rsidRPr="00EC72A8" w:rsidRDefault="003F6AE8" w:rsidP="00B57E6F">
      <w:pPr>
        <w:pStyle w:val="CETAuthors"/>
        <w:rPr>
          <w:lang w:val="it-IT"/>
        </w:rPr>
      </w:pPr>
      <w:r w:rsidRPr="003F6AE8">
        <w:rPr>
          <w:lang w:val="it-IT"/>
        </w:rPr>
        <w:t>Sara Mulone</w:t>
      </w:r>
      <w:r w:rsidRPr="00EC72A8">
        <w:rPr>
          <w:vertAlign w:val="superscript"/>
          <w:lang w:val="it-IT"/>
        </w:rPr>
        <w:t>a</w:t>
      </w:r>
      <w:r>
        <w:rPr>
          <w:vertAlign w:val="superscript"/>
          <w:lang w:val="it-IT"/>
        </w:rPr>
        <w:t>,</w:t>
      </w:r>
      <w:r w:rsidRPr="00EC72A8">
        <w:rPr>
          <w:lang w:val="it-IT"/>
        </w:rPr>
        <w:t>*</w:t>
      </w:r>
      <w:r w:rsidRPr="003F6AE8">
        <w:rPr>
          <w:lang w:val="it-IT"/>
        </w:rPr>
        <w:t xml:space="preserve">, </w:t>
      </w:r>
      <w:r w:rsidR="006D051B" w:rsidRPr="00EC72A8">
        <w:rPr>
          <w:lang w:val="it-IT"/>
        </w:rPr>
        <w:t>Santo F. Corsino</w:t>
      </w:r>
      <w:r w:rsidR="00625019" w:rsidRPr="00EC72A8">
        <w:rPr>
          <w:vertAlign w:val="superscript"/>
          <w:lang w:val="it-IT"/>
        </w:rPr>
        <w:t>a</w:t>
      </w:r>
      <w:r w:rsidR="006D051B" w:rsidRPr="00EC72A8">
        <w:rPr>
          <w:lang w:val="it-IT"/>
        </w:rPr>
        <w:t xml:space="preserve">, </w:t>
      </w:r>
      <w:r w:rsidR="00A71372" w:rsidRPr="00EC72A8">
        <w:rPr>
          <w:lang w:val="it-IT"/>
        </w:rPr>
        <w:t>Marco Capodici</w:t>
      </w:r>
      <w:r w:rsidR="00625019" w:rsidRPr="00EC72A8">
        <w:rPr>
          <w:vertAlign w:val="superscript"/>
          <w:lang w:val="it-IT"/>
        </w:rPr>
        <w:t>a</w:t>
      </w:r>
      <w:r w:rsidR="00A71372" w:rsidRPr="00EC72A8">
        <w:rPr>
          <w:lang w:val="it-IT"/>
        </w:rPr>
        <w:t>, Alida Cosenza</w:t>
      </w:r>
      <w:r w:rsidR="00625019" w:rsidRPr="00EC72A8">
        <w:rPr>
          <w:vertAlign w:val="superscript"/>
          <w:lang w:val="it-IT"/>
        </w:rPr>
        <w:t>a</w:t>
      </w:r>
      <w:r w:rsidR="00A71372" w:rsidRPr="00EC72A8">
        <w:rPr>
          <w:lang w:val="it-IT"/>
        </w:rPr>
        <w:t>,</w:t>
      </w:r>
      <w:r>
        <w:rPr>
          <w:lang w:val="it-IT"/>
        </w:rPr>
        <w:t xml:space="preserve"> </w:t>
      </w:r>
      <w:r w:rsidR="00A71372" w:rsidRPr="00EC72A8">
        <w:rPr>
          <w:lang w:val="it-IT"/>
        </w:rPr>
        <w:t>Michele Torregrossa</w:t>
      </w:r>
      <w:r w:rsidR="00625019" w:rsidRPr="00EC72A8">
        <w:rPr>
          <w:vertAlign w:val="superscript"/>
          <w:lang w:val="it-IT"/>
        </w:rPr>
        <w:t>a</w:t>
      </w:r>
    </w:p>
    <w:p w14:paraId="6B2D21B3" w14:textId="75BC9C36" w:rsidR="00B57E6F" w:rsidRPr="00B57B36" w:rsidRDefault="00B57E6F" w:rsidP="00B57E6F">
      <w:pPr>
        <w:pStyle w:val="CETAddress"/>
      </w:pPr>
      <w:r w:rsidRPr="00B57B36">
        <w:rPr>
          <w:vertAlign w:val="superscript"/>
        </w:rPr>
        <w:t>a</w:t>
      </w:r>
      <w:r w:rsidR="00462C73" w:rsidRPr="00462C73">
        <w:t xml:space="preserve">Department of Engineering, University of Palermo, </w:t>
      </w:r>
      <w:r w:rsidR="00462C73">
        <w:t xml:space="preserve">Viale delle Scienze Ed.8, 90128, </w:t>
      </w:r>
      <w:r w:rsidR="00462C73" w:rsidRPr="00462C73">
        <w:t>Palermo, Italy</w:t>
      </w:r>
    </w:p>
    <w:p w14:paraId="73F1267A" w14:textId="434EA454" w:rsidR="00B57E6F" w:rsidRDefault="009701F4" w:rsidP="00B57E6F">
      <w:pPr>
        <w:pStyle w:val="CETemail"/>
      </w:pPr>
      <w:hyperlink r:id="rId10" w:history="1">
        <w:r w:rsidRPr="000C3555">
          <w:rPr>
            <w:rStyle w:val="Collegamentoipertestuale"/>
          </w:rPr>
          <w:t>sara.mulone@unipa.it</w:t>
        </w:r>
      </w:hyperlink>
    </w:p>
    <w:p w14:paraId="476B2F2E" w14:textId="77777777" w:rsidR="00600535" w:rsidRPr="00B57B36" w:rsidRDefault="00600535" w:rsidP="00600535">
      <w:pPr>
        <w:pStyle w:val="CETHeading1"/>
        <w:rPr>
          <w:lang w:val="en-GB"/>
        </w:rPr>
      </w:pPr>
      <w:r w:rsidRPr="00B57B36">
        <w:rPr>
          <w:lang w:val="en-GB"/>
        </w:rPr>
        <w:t>Introduction</w:t>
      </w:r>
    </w:p>
    <w:p w14:paraId="394A6037" w14:textId="4213153C" w:rsidR="00AB03EC" w:rsidRDefault="0099045C" w:rsidP="00A00237">
      <w:pPr>
        <w:pStyle w:val="CETBodytext"/>
        <w:rPr>
          <w:lang w:val="en-GB"/>
        </w:rPr>
      </w:pPr>
      <w:r w:rsidRPr="0099045C">
        <w:rPr>
          <w:lang w:val="en-GB"/>
        </w:rPr>
        <w:t xml:space="preserve">Excess sludge management is one of the main </w:t>
      </w:r>
      <w:r w:rsidR="00370049" w:rsidRPr="0099045C">
        <w:rPr>
          <w:lang w:val="en-GB"/>
        </w:rPr>
        <w:t>technicals</w:t>
      </w:r>
      <w:r w:rsidRPr="0099045C">
        <w:rPr>
          <w:lang w:val="en-GB"/>
        </w:rPr>
        <w:t>, economic and environmental challenges faced by wastewater treatment plants</w:t>
      </w:r>
      <w:r w:rsidR="008E183D">
        <w:rPr>
          <w:lang w:val="en-GB"/>
        </w:rPr>
        <w:t>. Indeed,</w:t>
      </w:r>
      <w:r w:rsidRPr="0099045C">
        <w:rPr>
          <w:lang w:val="en-GB"/>
        </w:rPr>
        <w:t xml:space="preserve"> sludge handling and disposal account for a significant share of operating costs and strongly influence the overall sustainability of the treatment chain. The recently adopted EU Directive 2024/3019 on urban wastewater treatment reinforces the need for efficient sludge management strategies</w:t>
      </w:r>
      <w:r w:rsidR="005B5AFD">
        <w:rPr>
          <w:lang w:val="en-GB"/>
        </w:rPr>
        <w:t xml:space="preserve">. </w:t>
      </w:r>
      <w:r w:rsidR="002851A3">
        <w:rPr>
          <w:lang w:val="en-GB"/>
        </w:rPr>
        <w:t>The key novelties introduced by the new Directive</w:t>
      </w:r>
      <w:r w:rsidRPr="0099045C">
        <w:rPr>
          <w:lang w:val="en-GB"/>
        </w:rPr>
        <w:t xml:space="preserve"> </w:t>
      </w:r>
      <w:r w:rsidR="00AB03EC">
        <w:rPr>
          <w:lang w:val="en-GB"/>
        </w:rPr>
        <w:t>involve the</w:t>
      </w:r>
      <w:r w:rsidRPr="0099045C">
        <w:rPr>
          <w:lang w:val="en-GB"/>
        </w:rPr>
        <w:t xml:space="preserve"> promoti</w:t>
      </w:r>
      <w:r w:rsidR="00AB03EC">
        <w:rPr>
          <w:lang w:val="en-GB"/>
        </w:rPr>
        <w:t>o</w:t>
      </w:r>
      <w:r w:rsidRPr="0099045C">
        <w:rPr>
          <w:lang w:val="en-GB"/>
        </w:rPr>
        <w:t>n</w:t>
      </w:r>
      <w:r w:rsidR="00AB03EC">
        <w:rPr>
          <w:lang w:val="en-GB"/>
        </w:rPr>
        <w:t xml:space="preserve"> of</w:t>
      </w:r>
      <w:r w:rsidRPr="0099045C">
        <w:rPr>
          <w:lang w:val="en-GB"/>
        </w:rPr>
        <w:t xml:space="preserve"> sludge minimization, resource recovery and compliance with circular economy principles, while maintaining strict requirements for environmental protection and safe reuse or disposal. </w:t>
      </w:r>
    </w:p>
    <w:p w14:paraId="0065306E" w14:textId="123E0FF4" w:rsidR="00186688" w:rsidRDefault="0099045C" w:rsidP="00A00237">
      <w:pPr>
        <w:pStyle w:val="CETBodytext"/>
        <w:rPr>
          <w:lang w:val="en-GB"/>
        </w:rPr>
      </w:pPr>
      <w:r w:rsidRPr="0099045C">
        <w:rPr>
          <w:lang w:val="en-GB"/>
        </w:rPr>
        <w:t>In this context, considerable research efforts have been devoted to sludge minimization technique</w:t>
      </w:r>
      <w:r w:rsidR="00AB03EC">
        <w:rPr>
          <w:lang w:val="en-GB"/>
        </w:rPr>
        <w:t>s. Among these,</w:t>
      </w:r>
      <w:r w:rsidRPr="0099045C">
        <w:rPr>
          <w:lang w:val="en-GB"/>
        </w:rPr>
        <w:t xml:space="preserve"> process-based strategies such as extended sludge age and endogenous respiration enhancement, anaerobic, anoxic or micro-aerobic side-stream treatments, aerobic granular sludge systems, membrane bioreactors and hybrid biological–physical approaches aimed at promoting cell lysis and biomass decay</w:t>
      </w:r>
      <w:r w:rsidR="00894661">
        <w:rPr>
          <w:lang w:val="en-GB"/>
        </w:rPr>
        <w:t xml:space="preserve"> have been carefully addressed in previous literature </w:t>
      </w:r>
      <w:r w:rsidR="00894661">
        <w:rPr>
          <w:lang w:val="en-GB"/>
        </w:rPr>
        <w:fldChar w:fldCharType="begin" w:fldLock="1"/>
      </w:r>
      <w:r w:rsidR="005B7CE5">
        <w:rPr>
          <w:lang w:val="en-GB"/>
        </w:rPr>
        <w:instrText>ADDIN CSL_CITATION {"citationItems":[{"id":"ITEM-1","itemData":{"DOI":"10.3390/su10010086","ISSN":"20711050","abstract":"The use of water disinfection as a public health measure reduces the spread of diseases. Various disinfection technologies can be used to meet the pathogen inactivation demand in water. This work is an overview of the main disinfection technologies of wastewater and drinking water that reports for the conventional processes the action mechanism, the possible formation of by-products, the operative conditions, the advantages and disadvantages. For advanced and natural processes the action mechanisms are reported. Advanced technologies are interesting but are still in the research state, while conventional technologies are the most used. There is a tendency, especially in Italy, to use chlorine-based disinfectant, despite in some forms could lead to production of disinfection by-products.","author":[{"dropping-particle":"","family":"Collivignarelli","given":"Maria Cristina","non-dropping-particle":"","parse-names":false,"suffix":""},{"dropping-particle":"","family":"Abbà","given":"Alessandro","non-dropping-particle":"","parse-names":false,"suffix":""},{"dropping-particle":"","family":"Benigna","given":"Ilaria","non-dropping-particle":"","parse-names":false,"suffix":""},{"dropping-particle":"","family":"Sorlini","given":"Sabrina","non-dropping-particle":"","parse-names":false,"suffix":""},{"dropping-particle":"","family":"Torretta","given":"Vincenzo","non-dropping-particle":"","parse-names":false,"suffix":""}],"container-title":"Sustainability (Switzerland)","id":"ITEM-1","issue":"1","issued":{"date-parts":[["2018"]]},"page":"1-21","title":"Overview of the main disinfection processes for wastewater and drinking water treatment plants","type":"article-journal","volume":"10"},"uris":["http://www.mendeley.com/documents/?uuid=2fe79d0c-63e1-44e9-a36c-24419013bd09"]}],"mendeley":{"formattedCitation":"(Collivignarelli et al., 2018)","plainTextFormattedCitation":"(Collivignarelli et al., 2018)","previouslyFormattedCitation":"(Collivignarelli et al., 2018)"},"properties":{"noteIndex":0},"schema":"https://github.com/citation-style-language/schema/raw/master/csl-citation.json"}</w:instrText>
      </w:r>
      <w:r w:rsidR="00894661">
        <w:rPr>
          <w:lang w:val="en-GB"/>
        </w:rPr>
        <w:fldChar w:fldCharType="separate"/>
      </w:r>
      <w:r w:rsidR="00894661" w:rsidRPr="00894661">
        <w:rPr>
          <w:noProof/>
          <w:lang w:val="en-GB"/>
        </w:rPr>
        <w:t>(Collivignarelli et al., 2018)</w:t>
      </w:r>
      <w:r w:rsidR="00894661">
        <w:rPr>
          <w:lang w:val="en-GB"/>
        </w:rPr>
        <w:fldChar w:fldCharType="end"/>
      </w:r>
      <w:r w:rsidRPr="0099045C">
        <w:rPr>
          <w:lang w:val="en-GB"/>
        </w:rPr>
        <w:t xml:space="preserve">. For example, aerobic and anaerobic side-stream reactors </w:t>
      </w:r>
      <w:r w:rsidR="00894661">
        <w:rPr>
          <w:lang w:val="en-GB"/>
        </w:rPr>
        <w:t>demonstrated</w:t>
      </w:r>
      <w:r w:rsidRPr="0099045C">
        <w:rPr>
          <w:lang w:val="en-GB"/>
        </w:rPr>
        <w:t xml:space="preserve"> to reduce observed sludge yield through mechanisms such as hydrolysis, decay and selection of slow-growing microbial populations</w:t>
      </w:r>
      <w:r w:rsidR="00186688">
        <w:rPr>
          <w:lang w:val="en-GB"/>
        </w:rPr>
        <w:t>. Similarly,</w:t>
      </w:r>
      <w:r w:rsidRPr="0099045C">
        <w:rPr>
          <w:lang w:val="en-GB"/>
        </w:rPr>
        <w:t xml:space="preserve"> micro-aerobic side-stream processes have demonstrated enhanced cell lysis and </w:t>
      </w:r>
      <w:r w:rsidR="00444B12">
        <w:rPr>
          <w:lang w:val="en-GB"/>
        </w:rPr>
        <w:t>a</w:t>
      </w:r>
      <w:r w:rsidR="00444B12" w:rsidRPr="00444B12">
        <w:rPr>
          <w:lang w:val="en-GB"/>
        </w:rPr>
        <w:t xml:space="preserve">denosine </w:t>
      </w:r>
      <w:r w:rsidR="00444B12">
        <w:rPr>
          <w:lang w:val="en-GB"/>
        </w:rPr>
        <w:t>t</w:t>
      </w:r>
      <w:r w:rsidR="00444B12" w:rsidRPr="00444B12">
        <w:rPr>
          <w:lang w:val="en-GB"/>
        </w:rPr>
        <w:t>riphosphate</w:t>
      </w:r>
      <w:r w:rsidR="00444B12" w:rsidRPr="00444B12">
        <w:rPr>
          <w:lang w:val="en-GB"/>
        </w:rPr>
        <w:t xml:space="preserve"> </w:t>
      </w:r>
      <w:r w:rsidR="00444B12">
        <w:rPr>
          <w:lang w:val="en-GB"/>
        </w:rPr>
        <w:t>(</w:t>
      </w:r>
      <w:r w:rsidRPr="0099045C">
        <w:rPr>
          <w:lang w:val="en-GB"/>
        </w:rPr>
        <w:t>ATP</w:t>
      </w:r>
      <w:r w:rsidR="00444B12">
        <w:rPr>
          <w:lang w:val="en-GB"/>
        </w:rPr>
        <w:t>)</w:t>
      </w:r>
      <w:r w:rsidRPr="0099045C">
        <w:rPr>
          <w:lang w:val="en-GB"/>
        </w:rPr>
        <w:t xml:space="preserve"> dissipation leading to greater sludge reduction efficiencies compared to strictly anaerobic or aerobic configurations</w:t>
      </w:r>
      <w:r w:rsidR="00EC3F16">
        <w:rPr>
          <w:lang w:val="en-GB"/>
        </w:rPr>
        <w:t xml:space="preserve"> </w:t>
      </w:r>
      <w:r w:rsidR="00A22AFA">
        <w:rPr>
          <w:lang w:val="en-GB"/>
        </w:rPr>
        <w:fldChar w:fldCharType="begin" w:fldLock="1"/>
      </w:r>
      <w:r w:rsidR="00497A83">
        <w:rPr>
          <w:lang w:val="en-GB"/>
        </w:rPr>
        <w:instrText>ADDIN CSL_CITATION {"citationItems":[{"id":"ITEM-1","itemData":{"DOI":"10.1016/j.jenvman.2022.115756","ISSN":"10958630","PMID":"35982561","abstract":"Excess sludge production in wastewater treatment plants has become an enormous environmental issue worldwide mainly due to the increased efforts towards wastewater purification. Researchers and plant operators are looking for technological solutions to reduce sludge production through the upgrading of existing technologies and configurations or by substituting them with alternative solutions. Several strategies have been identified to reduce sludge production, including the use of biological and physical-chemical methods (or a combination of them) and novel technologies, although many have not been sufficiently tested at full-scale. To select the most suitable system for sludge reduction, understanding the reduction mechanisms, advantages, disadvantages, and the economic and environmental impact of each technology is essential. This work offers a comprehensive and critical overview of mainstream sludge reduction technologies and underlying mechanisms from laboratory to full scale, and describes potential application, configuration, and integration with conventional systems. Research needs are highlighted, and a techno-economic-environmental comparison of the existing technologies is also proposed.","author":[{"dropping-particle":"","family":"Morello","given":"Raffaele","non-dropping-particle":"","parse-names":false,"suffix":""},{"dropping-particle":"","family":"Capua","given":"Francesco","non-dropping-particle":"Di","parse-names":false,"suffix":""},{"dropping-particle":"","family":"Esposito","given":"Giovanni","non-dropping-particle":"","parse-names":false,"suffix":""},{"dropping-particle":"","family":"Pirozzi","given":"Francesco","non-dropping-particle":"","parse-names":false,"suffix":""},{"dropping-particle":"","family":"Fratino","given":"Umberto","non-dropping-particle":"","parse-names":false,"suffix":""},{"dropping-particle":"","family":"Spasiano","given":"Danilo","non-dropping-particle":"","parse-names":false,"suffix":""}],"container-title":"Journal of Environmental Management","id":"ITEM-1","issue":"July","issued":{"date-parts":[["2022"]]},"page":"115756","publisher":"Elsevier Ltd","title":"Sludge minimization in mainstream wastewater treatment: Mechanisms, strategies, technologies, and current development","type":"article-journal","volume":"319"},"uris":["http://www.mendeley.com/documents/?uuid=dd966dfc-3b6d-408d-bca1-224a09acb9f3"]}],"mendeley":{"formattedCitation":"(Morello et al., 2022)","plainTextFormattedCitation":"(Morello et al., 2022)","previouslyFormattedCitation":"(Morello et al., 2022)"},"properties":{"noteIndex":0},"schema":"https://github.com/citation-style-language/schema/raw/master/csl-citation.json"}</w:instrText>
      </w:r>
      <w:r w:rsidR="00A22AFA">
        <w:rPr>
          <w:lang w:val="en-GB"/>
        </w:rPr>
        <w:fldChar w:fldCharType="separate"/>
      </w:r>
      <w:r w:rsidR="00A22AFA" w:rsidRPr="00A22AFA">
        <w:rPr>
          <w:noProof/>
          <w:lang w:val="en-GB"/>
        </w:rPr>
        <w:t>(Morello et al., 2022)</w:t>
      </w:r>
      <w:r w:rsidR="00A22AFA">
        <w:rPr>
          <w:lang w:val="en-GB"/>
        </w:rPr>
        <w:fldChar w:fldCharType="end"/>
      </w:r>
      <w:r w:rsidRPr="0099045C">
        <w:rPr>
          <w:lang w:val="en-GB"/>
        </w:rPr>
        <w:t xml:space="preserve">. </w:t>
      </w:r>
    </w:p>
    <w:p w14:paraId="0AA10431" w14:textId="77777777" w:rsidR="0042598E" w:rsidRDefault="0099045C" w:rsidP="00A00237">
      <w:pPr>
        <w:pStyle w:val="CETBodytext"/>
        <w:rPr>
          <w:lang w:val="en-GB"/>
        </w:rPr>
      </w:pPr>
      <w:r w:rsidRPr="0099045C">
        <w:rPr>
          <w:lang w:val="en-GB"/>
        </w:rPr>
        <w:t>Among these, anaerobic side-stream reactor (ASSR) configurations have attracted increasing attention as low-cost and easily retrofittable solutions capable of significantly reducing excess sludge production</w:t>
      </w:r>
      <w:r w:rsidR="008E37A1">
        <w:rPr>
          <w:lang w:val="en-GB"/>
        </w:rPr>
        <w:t>. This process involves</w:t>
      </w:r>
      <w:r w:rsidRPr="0099045C">
        <w:rPr>
          <w:lang w:val="en-GB"/>
        </w:rPr>
        <w:t xml:space="preserve"> </w:t>
      </w:r>
      <w:r w:rsidR="008E37A1">
        <w:rPr>
          <w:lang w:val="en-GB"/>
        </w:rPr>
        <w:t xml:space="preserve">to expose </w:t>
      </w:r>
      <w:r w:rsidRPr="0099045C">
        <w:rPr>
          <w:lang w:val="en-GB"/>
        </w:rPr>
        <w:t>a fraction of the return sludge to anaerobic conditions, thus inducing stress, metabolic uncoupling and biomass decay with reported reductions of up to 20–60% in pilot and full-scale applications</w:t>
      </w:r>
      <w:r w:rsidR="00497A83">
        <w:rPr>
          <w:lang w:val="en-GB"/>
        </w:rPr>
        <w:t xml:space="preserve"> </w:t>
      </w:r>
      <w:r w:rsidR="00497A83">
        <w:rPr>
          <w:lang w:val="en-GB"/>
        </w:rPr>
        <w:fldChar w:fldCharType="begin" w:fldLock="1"/>
      </w:r>
      <w:r w:rsidR="007C72C6">
        <w:rPr>
          <w:lang w:val="en-GB"/>
        </w:rPr>
        <w:instrText>ADDIN CSL_CITATION {"citationItems":[{"id":"ITEM-1","itemData":{"DOI":"10.1016/j.envc.2020.100016","ISSN":"26670100","abstract":"In the present paper, a new process, whose acronym is UTN (University of Trento) system, is proposed and tested at full scale for reducing the amount of sludge of the wastewater treatment plant. The UTN system allows sludge reduction in conventional activated sludge (CAS) due to the cell lysis, the sludge decay and, above all, to the selection of slow growing microorganism. In this study, the first full-scale UTN system was tested by retrofitting an existing wastewater treatment plant located in Marmirolo (Lombardia, Italy) having a treatment capacity of 6,000 population equivalent (PE). Performances of the UTN system were evaluated in terms of sludge reduction, together with organic carbon and nutrients removal efficiencies. Results obtained over 10 month of monitoring period, divided in period I (7 months) and period II (3 months), characterized by different operative conditions, have reported a specific sludge production of 0.37 and 0.23 kg TSS per kg of COD removed, respectively; which is 50% and 69% lower than that observed in the reference period when the plant worked under conventional activated sludge process. Furthermore, results revealed that the UTN system allows a high removal of wastewater typical pollutants, without causing negative effects on the effluent quality, always ensuring compliance with the regulatory discharge limits.","author":[{"dropping-particle":"","family":"Ferrentino","given":"Roberta","non-dropping-particle":"","parse-names":false,"suffix":""},{"dropping-particle":"","family":"Langone","given":"Michela","non-dropping-particle":"","parse-names":false,"suffix":""},{"dropping-particle":"","family":"Andreottola","given":"Gianni","non-dropping-particle":"","parse-names":false,"suffix":""}],"container-title":"Environmental Challenges","id":"ITEM-1","issue":"November 2020","issued":{"date-parts":[["2021"]]},"page":"100016","publisher":"Elsevier B.V.","title":"Sludge reduction by an anaerobic side-stream reactor process: A full-scale application","type":"article-journal","volume":"2"},"uris":["http://www.mendeley.com/documents/?uuid=6cfa23dd-23ad-4e50-b8ab-d433977ca5b7"]}],"mendeley":{"formattedCitation":"(Ferrentino et al., 2021)","plainTextFormattedCitation":"(Ferrentino et al., 2021)","previouslyFormattedCitation":"(Ferrentino et al., 2021)"},"properties":{"noteIndex":0},"schema":"https://github.com/citation-style-language/schema/raw/master/csl-citation.json"}</w:instrText>
      </w:r>
      <w:r w:rsidR="00497A83">
        <w:rPr>
          <w:lang w:val="en-GB"/>
        </w:rPr>
        <w:fldChar w:fldCharType="separate"/>
      </w:r>
      <w:r w:rsidR="00497A83" w:rsidRPr="00497A83">
        <w:rPr>
          <w:noProof/>
          <w:lang w:val="en-GB"/>
        </w:rPr>
        <w:t>(Ferrentino et al., 2021)</w:t>
      </w:r>
      <w:r w:rsidR="00497A83">
        <w:rPr>
          <w:lang w:val="en-GB"/>
        </w:rPr>
        <w:fldChar w:fldCharType="end"/>
      </w:r>
      <w:r w:rsidRPr="0099045C">
        <w:rPr>
          <w:lang w:val="en-GB"/>
        </w:rPr>
        <w:t>. Traditionally, ASSR performance has been interpreted mainly in terms of hydraulic retention time (HRT) and sludge interchange ratio (SIR)</w:t>
      </w:r>
      <w:r w:rsidR="001416B2">
        <w:rPr>
          <w:lang w:val="en-GB"/>
        </w:rPr>
        <w:t>.</w:t>
      </w:r>
      <w:r w:rsidRPr="0099045C">
        <w:rPr>
          <w:lang w:val="en-GB"/>
        </w:rPr>
        <w:t xml:space="preserve"> </w:t>
      </w:r>
      <w:r w:rsidR="001416B2">
        <w:rPr>
          <w:lang w:val="en-GB"/>
        </w:rPr>
        <w:t>H</w:t>
      </w:r>
      <w:r w:rsidRPr="0099045C">
        <w:rPr>
          <w:lang w:val="en-GB"/>
        </w:rPr>
        <w:t>owever, inconsistent and sometimes contradictory results reported in the literature</w:t>
      </w:r>
      <w:r w:rsidR="001416B2">
        <w:rPr>
          <w:lang w:val="en-GB"/>
        </w:rPr>
        <w:t>,</w:t>
      </w:r>
      <w:r w:rsidRPr="0099045C">
        <w:rPr>
          <w:lang w:val="en-GB"/>
        </w:rPr>
        <w:t xml:space="preserve"> suggest</w:t>
      </w:r>
      <w:r w:rsidR="001416B2">
        <w:rPr>
          <w:lang w:val="en-GB"/>
        </w:rPr>
        <w:t>ing</w:t>
      </w:r>
      <w:r w:rsidRPr="0099045C">
        <w:rPr>
          <w:lang w:val="en-GB"/>
        </w:rPr>
        <w:t xml:space="preserve"> that these parameters alone are insufficient to fully describe and predict sludge reduction efficiency.</w:t>
      </w:r>
      <w:r w:rsidR="0042598E">
        <w:rPr>
          <w:lang w:val="en-GB"/>
        </w:rPr>
        <w:t xml:space="preserve"> </w:t>
      </w:r>
      <w:r w:rsidRPr="0099045C">
        <w:rPr>
          <w:lang w:val="en-GB"/>
        </w:rPr>
        <w:t>More recently, Mulone et al. introduced the anaerobic exposure time (AET) as a novel process parameter integrating both the duration and frequency of anaerobic exposure</w:t>
      </w:r>
      <w:r w:rsidR="007C72C6">
        <w:rPr>
          <w:lang w:val="en-GB"/>
        </w:rPr>
        <w:t xml:space="preserve"> </w:t>
      </w:r>
      <w:r w:rsidR="007C72C6">
        <w:rPr>
          <w:lang w:val="en-GB"/>
        </w:rPr>
        <w:fldChar w:fldCharType="begin" w:fldLock="1"/>
      </w:r>
      <w:r w:rsidR="000A034C">
        <w:rPr>
          <w:lang w:val="en-GB"/>
        </w:rPr>
        <w:instrText>ADDIN CSL_CITATION {"citationItems":[{"id":"ITEM-1","itemData":{"DOI":"10.1016/j.watres.2024.121380","ISSN":"18792448","PMID":"38412561","abstract":"Minimization of excess sludge produced by wastewater treatment plants has become a topical theme nowadays. One of the most used approaches to achieve this aim is the anaerobic side-stream reactor (ASSR) process. This is considered affected by the hydraulic retention time (HRT) of the anaerobic reactor, the anaerobic sludge loading rate (ASLR) and the sludge interchange ratio (SIR), although, studies available in the literature did not reflect a clear relationship with the sludge minimization yields. To overcome this, a novel parameter namely anaerobic exposure time (AET) was defined and related to reduction of the observed yield coefficient (Yobs) in a lab-scale plant implementing the ASSR process. Furthermore, the AET was validated by performing a detailed and thorough review of previous literature. Excess sludge production was successfully reduced (10–60 %) with the increase of the AET (7.9–13 h/d), although maintaining the same HRT in the ASSR and a constant sludge interchange ratio (SIR) (100 %). A strong correlation (Pearson = 0.763) was found between the AET, and the Yobs reduction reported in previous studies, also indicating a linear relationship (R2 = 0.92) between these parameters. Contrarily, the correlation between the Yobs with the ASLR and the ASSR-HRT resulted moderate (Pearson = 0.186) or weak (Pearson=−0.346), respectively. Overall, while operating at low AET (&lt; 6 h), maintenance and uncoupling metabolism were found the main sludge reduction mechanisms. Increasing the AET (&gt;8 h) favoured the occurrence of extracellular polymeric substances (EPS) hydrolysis and endogenous decay mechanisms, which improved excess sludge reduction. To conclude, the AET could be considered a reliable parameter to be used for design or control purposes for the ASSR-based process.","author":[{"dropping-particle":"","family":"Mulone","given":"Sara","non-dropping-particle":"","parse-names":false,"suffix":""},{"dropping-particle":"","family":"Corsino","given":"Santo Fabio","non-dropping-particle":"","parse-names":false,"suffix":""},{"dropping-particle":"","family":"Capodici","given":"Marco","non-dropping-particle":"","parse-names":false,"suffix":""},{"dropping-particle":"","family":"Torregrossa","given":"Michele","non-dropping-particle":"","parse-names":false,"suffix":""}],"container-title":"Water Research","id":"ITEM-1","issue":"February","issued":{"date-parts":[["2024"]]},"page":"121380","publisher":"Elsevier Ltd","title":"The anaerobic exposure time (AET) as a novel process parameter in the anaerobic side-stream reactor (ASSR)-based process for excess sludge minimization","type":"article-journal","volume":"254"},"uris":["http://www.mendeley.com/documents/?uuid=277e47a0-3d09-4792-a1f3-78d98b4f1015"]}],"mendeley":{"formattedCitation":"(Mulone et al., 2024)","plainTextFormattedCitation":"(Mulone et al., 2024)","previouslyFormattedCitation":"(Mulone et al., 2024)"},"properties":{"noteIndex":0},"schema":"https://github.com/citation-style-language/schema/raw/master/csl-citation.json"}</w:instrText>
      </w:r>
      <w:r w:rsidR="007C72C6">
        <w:rPr>
          <w:lang w:val="en-GB"/>
        </w:rPr>
        <w:fldChar w:fldCharType="separate"/>
      </w:r>
      <w:r w:rsidR="007C72C6" w:rsidRPr="007C72C6">
        <w:rPr>
          <w:noProof/>
          <w:lang w:val="en-GB"/>
        </w:rPr>
        <w:t>(Mulone et al., 2024)</w:t>
      </w:r>
      <w:r w:rsidR="007C72C6">
        <w:rPr>
          <w:lang w:val="en-GB"/>
        </w:rPr>
        <w:fldChar w:fldCharType="end"/>
      </w:r>
      <w:r w:rsidR="007C72C6">
        <w:rPr>
          <w:lang w:val="en-GB"/>
        </w:rPr>
        <w:t>. This new parameter</w:t>
      </w:r>
      <w:r w:rsidRPr="0099045C">
        <w:rPr>
          <w:lang w:val="en-GB"/>
        </w:rPr>
        <w:t xml:space="preserve"> show</w:t>
      </w:r>
      <w:r w:rsidR="007C72C6">
        <w:rPr>
          <w:lang w:val="en-GB"/>
        </w:rPr>
        <w:t>ed</w:t>
      </w:r>
      <w:r w:rsidRPr="0099045C">
        <w:rPr>
          <w:lang w:val="en-GB"/>
        </w:rPr>
        <w:t xml:space="preserve"> a stronger correlation with observed sludge yield reduction than HRT or SIR and clarifying several previously unclear aspects of ASSR performance. </w:t>
      </w:r>
    </w:p>
    <w:p w14:paraId="7751DA1B" w14:textId="00F75C06" w:rsidR="000A034C" w:rsidRDefault="0099045C" w:rsidP="00A00237">
      <w:pPr>
        <w:pStyle w:val="CETBodytext"/>
        <w:rPr>
          <w:lang w:val="en-GB"/>
        </w:rPr>
      </w:pPr>
      <w:r w:rsidRPr="0099045C">
        <w:rPr>
          <w:lang w:val="en-GB"/>
        </w:rPr>
        <w:t>Despite this conceptual advancement, several aspects of ASSR operation remain poorly understood</w:t>
      </w:r>
      <w:r w:rsidR="0042598E">
        <w:rPr>
          <w:lang w:val="en-GB"/>
        </w:rPr>
        <w:t>.</w:t>
      </w:r>
      <w:r w:rsidRPr="0099045C">
        <w:rPr>
          <w:lang w:val="en-GB"/>
        </w:rPr>
        <w:t xml:space="preserve"> </w:t>
      </w:r>
      <w:r w:rsidR="0042598E">
        <w:rPr>
          <w:lang w:val="en-GB"/>
        </w:rPr>
        <w:t>P</w:t>
      </w:r>
      <w:r w:rsidRPr="0099045C">
        <w:rPr>
          <w:lang w:val="en-GB"/>
        </w:rPr>
        <w:t>articularly</w:t>
      </w:r>
      <w:r w:rsidR="0042598E">
        <w:rPr>
          <w:lang w:val="en-GB"/>
        </w:rPr>
        <w:t>,</w:t>
      </w:r>
      <w:r w:rsidRPr="0099045C">
        <w:rPr>
          <w:lang w:val="en-GB"/>
        </w:rPr>
        <w:t xml:space="preserve"> the role of anaerobic reactor hydrodynamics and the formation of internal gradients such as oxidation–reduction potential (ORP) that may influence microbial stress levels, metabolic pathways and biomass decay mechanisms, have received limited attention to date. Some studies have indicated that low ORP conditions in side-stream or anoxic reactors can contribute to endogenous decay and reduction of biomass production, suggesting that hydrodynamic conditions and redox gradients may exert selective pressure on microbial communities and enhance sludge reduction</w:t>
      </w:r>
      <w:r w:rsidR="000A034C">
        <w:rPr>
          <w:lang w:val="en-GB"/>
        </w:rPr>
        <w:t xml:space="preserve"> </w:t>
      </w:r>
      <w:r w:rsidR="000A034C">
        <w:rPr>
          <w:lang w:val="en-GB"/>
        </w:rPr>
        <w:fldChar w:fldCharType="begin" w:fldLock="1"/>
      </w:r>
      <w:r w:rsidR="00894661">
        <w:rPr>
          <w:lang w:val="en-GB"/>
        </w:rPr>
        <w:instrText>ADDIN CSL_CITATION {"citationItems":[{"id":"ITEM-1","itemData":{"DOI":"10.1016/j.biortech.2012.11.055","ISBN":"0960-8524","ISSN":"18732976","PMID":"23247151","abstract":"This study evaluates the application of an anoxic side-stream reactor in the sludge return line of a conventional activated sludge system for the reduction of biomass production. The oxidation-reduction potential was maintained at -150mV while the applied sludge loading rate was modified by changing the percentage of return sludge treated in this reactor. The observed yield from the conventional system (0.513kg VSSkg-1 COD) was continuously reduced when the portion of return sludge treated was increased. A maximum reduction of 18.3% of the observed yield was obtained treating the whole sludge return line. The sludge age maintained through the experiment. The organic matter removal was not deteriorated, even improved, by the proposed plant modification. Thus, simply applying an anoxic side-stream reactor would decrease the final volume of waste sludge while maintaining the sludge retention time and would, in fact, decrease the economic costs in terms of sludge handling. ?? 2012 Elsevier Ltd.","author":[{"dropping-particle":"","family":"Coma","given":"M.","non-dropping-particle":"","parse-names":false,"suffix":""},{"dropping-particle":"","family":"Rovira","given":"S.","non-dropping-particle":"","parse-names":false,"suffix":""},{"dropping-particle":"","family":"Canals","given":"J.","non-dropping-particle":"","parse-names":false,"suffix":""},{"dropping-particle":"","family":"Colprim","given":"J.","non-dropping-particle":"","parse-names":false,"suffix":""}],"container-title":"Bioresource Technology","id":"ITEM-1","issued":{"date-parts":[["2013"]]},"page":"229-235","title":"Minimization of sludge production by a side-stream reactor under anoxic conditions in a pilot plant","type":"article-journal","volume":"129"},"uris":["http://www.mendeley.com/documents/?uuid=c36f133d-5ebe-448d-a131-9f7fc6738795"]}],"mendeley":{"formattedCitation":"(Coma et al., 2013)","plainTextFormattedCitation":"(Coma et al., 2013)","previouslyFormattedCitation":"(Coma et al., 2013)"},"properties":{"noteIndex":0},"schema":"https://github.com/citation-style-language/schema/raw/master/csl-citation.json"}</w:instrText>
      </w:r>
      <w:r w:rsidR="000A034C">
        <w:rPr>
          <w:lang w:val="en-GB"/>
        </w:rPr>
        <w:fldChar w:fldCharType="separate"/>
      </w:r>
      <w:r w:rsidR="000A034C" w:rsidRPr="000A034C">
        <w:rPr>
          <w:noProof/>
          <w:lang w:val="en-GB"/>
        </w:rPr>
        <w:t>(Coma et al., 2013)</w:t>
      </w:r>
      <w:r w:rsidR="000A034C">
        <w:rPr>
          <w:lang w:val="en-GB"/>
        </w:rPr>
        <w:fldChar w:fldCharType="end"/>
      </w:r>
      <w:r w:rsidRPr="0099045C">
        <w:rPr>
          <w:lang w:val="en-GB"/>
        </w:rPr>
        <w:t xml:space="preserve">. </w:t>
      </w:r>
    </w:p>
    <w:p w14:paraId="70810375" w14:textId="1826D2DD" w:rsidR="0099045C" w:rsidRDefault="0099045C" w:rsidP="00A00237">
      <w:pPr>
        <w:pStyle w:val="CETBodytext"/>
        <w:rPr>
          <w:lang w:val="en-GB"/>
        </w:rPr>
      </w:pPr>
      <w:r w:rsidRPr="0099045C">
        <w:rPr>
          <w:lang w:val="en-GB"/>
        </w:rPr>
        <w:t xml:space="preserve">Based on these considerations, the objective of this study </w:t>
      </w:r>
      <w:r w:rsidR="00D53E4D">
        <w:rPr>
          <w:lang w:val="en-GB"/>
        </w:rPr>
        <w:t>wa</w:t>
      </w:r>
      <w:r w:rsidRPr="0099045C">
        <w:rPr>
          <w:lang w:val="en-GB"/>
        </w:rPr>
        <w:t xml:space="preserve">s to investigate how different hydrodynamic regimes in anaerobic side-stream reactors affect excess sludge minimization when operated at identical </w:t>
      </w:r>
      <w:r w:rsidR="00252613">
        <w:rPr>
          <w:lang w:val="en-GB"/>
        </w:rPr>
        <w:lastRenderedPageBreak/>
        <w:t>anaerobic exposure time (</w:t>
      </w:r>
      <w:r w:rsidRPr="0099045C">
        <w:rPr>
          <w:lang w:val="en-GB"/>
        </w:rPr>
        <w:t>AET</w:t>
      </w:r>
      <w:r w:rsidR="00252613">
        <w:rPr>
          <w:lang w:val="en-GB"/>
        </w:rPr>
        <w:t>)</w:t>
      </w:r>
      <w:r w:rsidRPr="0099045C">
        <w:rPr>
          <w:lang w:val="en-GB"/>
        </w:rPr>
        <w:t xml:space="preserve"> values</w:t>
      </w:r>
      <w:r w:rsidR="0022497E">
        <w:rPr>
          <w:lang w:val="en-GB"/>
        </w:rPr>
        <w:t>.</w:t>
      </w:r>
      <w:r w:rsidRPr="0099045C">
        <w:rPr>
          <w:lang w:val="en-GB"/>
        </w:rPr>
        <w:t xml:space="preserve"> </w:t>
      </w:r>
      <w:r w:rsidR="0022497E">
        <w:rPr>
          <w:lang w:val="en-GB"/>
        </w:rPr>
        <w:t>A</w:t>
      </w:r>
      <w:r w:rsidRPr="0099045C">
        <w:rPr>
          <w:lang w:val="en-GB"/>
        </w:rPr>
        <w:t xml:space="preserve"> specific focus </w:t>
      </w:r>
      <w:r w:rsidR="0022497E">
        <w:rPr>
          <w:lang w:val="en-GB"/>
        </w:rPr>
        <w:t xml:space="preserve">was paid </w:t>
      </w:r>
      <w:r w:rsidRPr="0099045C">
        <w:rPr>
          <w:lang w:val="en-GB"/>
        </w:rPr>
        <w:t>on assessing whether the intentional creation of ORP gradients can intensify microbial stress and allow either higher sludge reduction efficiencies at equal reactor volumes or comparable performance with reduced anaerobic reactor volumes.</w:t>
      </w:r>
    </w:p>
    <w:p w14:paraId="52F3EA13" w14:textId="77777777" w:rsidR="0062451B" w:rsidRPr="002244F0" w:rsidRDefault="0062451B" w:rsidP="0062451B">
      <w:pPr>
        <w:pStyle w:val="CETHeading1"/>
        <w:tabs>
          <w:tab w:val="num" w:pos="360"/>
        </w:tabs>
      </w:pPr>
      <w:r>
        <w:t>Materials</w:t>
      </w:r>
      <w:r w:rsidRPr="002244F0">
        <w:t xml:space="preserve"> and methods</w:t>
      </w:r>
    </w:p>
    <w:p w14:paraId="4FE7E682" w14:textId="56D31255" w:rsidR="00CE36A1" w:rsidRDefault="00824AB3" w:rsidP="00AE595D">
      <w:pPr>
        <w:pStyle w:val="Corpotesto"/>
        <w:spacing w:after="0"/>
      </w:pPr>
      <w:r>
        <w:t xml:space="preserve">In this study, a laboratory-scale plant configured according to a </w:t>
      </w:r>
      <w:r w:rsidR="00252613">
        <w:t>conventional activated sludge (</w:t>
      </w:r>
      <w:r>
        <w:t>CAS</w:t>
      </w:r>
      <w:r w:rsidR="00252613">
        <w:t>)</w:t>
      </w:r>
      <w:r>
        <w:t xml:space="preserve"> system was used. The plant consisted of an aeration tank with a variable volume ranging from 17.5 to 22.5 L and a 14.5-L vertical-flow clarifier, connected by gravity.</w:t>
      </w:r>
      <w:r w:rsidR="00CE36A1">
        <w:t xml:space="preserve"> The aerobic reactor was equipped with two porous-stone diffusers connected to an air blower providing a constant airflow of 5 L/min, maintaining a dissolved oxygen concentration of approximately 2 mg/L. To prevent poorly mixed zones, a vertical impeller was installed. The clarifier was equipped with a peristaltic pump that continuously extracted settled sludge from the hopper and recirculated it to the aeration tank at a constant flow rate of 2 L/h. The treated effluent was collected in a tank designed to retain suspended solids </w:t>
      </w:r>
      <w:r w:rsidR="001742CB">
        <w:t xml:space="preserve">eventually </w:t>
      </w:r>
      <w:r w:rsidR="00CE36A1">
        <w:t>escaping from the clarifier, allowing for a more accurate solids mass balance.</w:t>
      </w:r>
    </w:p>
    <w:p w14:paraId="0E82FA72" w14:textId="25BF3F16" w:rsidR="00CE36A1" w:rsidRDefault="00CE36A1" w:rsidP="00C76BC7">
      <w:pPr>
        <w:pStyle w:val="Corpotesto"/>
        <w:spacing w:after="0"/>
      </w:pPr>
      <w:r>
        <w:t>The ASSR configuration included an anaerobic reactor in line with the sludge recirculation (RAS), through which the entire recirculated sludge stream passed (SIR = 100%).</w:t>
      </w:r>
      <w:r w:rsidR="00214A55">
        <w:t xml:space="preserve"> </w:t>
      </w:r>
      <w:r w:rsidR="00AE595D">
        <w:t xml:space="preserve">The </w:t>
      </w:r>
      <w:r w:rsidR="00214A55" w:rsidRPr="00214A55">
        <w:t>ASSR consist</w:t>
      </w:r>
      <w:r w:rsidR="00AE595D">
        <w:t>ed</w:t>
      </w:r>
      <w:r w:rsidR="00214A55" w:rsidRPr="00214A55">
        <w:t xml:space="preserve"> of a rectangular tank with a total working volume of 12 L, divided into six compartments of equal volume (2 L each). Each compartment was equipped with an individual impeller to ensure adequate mixing. The transfer of mixed liquor from one compartment to the next occurred through submerged openings located at the bottom of the internal baffles</w:t>
      </w:r>
      <w:r w:rsidR="00156688">
        <w:t>.</w:t>
      </w:r>
      <w:r w:rsidR="00214A55" w:rsidRPr="00214A55">
        <w:t xml:space="preserve"> </w:t>
      </w:r>
      <w:r w:rsidR="00156688">
        <w:t>T</w:t>
      </w:r>
      <w:r w:rsidR="00214A55" w:rsidRPr="00214A55">
        <w:t xml:space="preserve">hese openings were offset but symmetrically arranged with respect to the longitudinal axis of the reactor, in order to prevent the formation of preferential flow paths and to promote a plug-flow-like hydrodynamic </w:t>
      </w:r>
      <w:r w:rsidR="00B67585" w:rsidRPr="00214A55">
        <w:t>behaviour</w:t>
      </w:r>
      <w:r w:rsidR="00214A55" w:rsidRPr="00214A55">
        <w:t>. The overall observation period lasted 100 days and was divided into two consecutive phases of 50 days each</w:t>
      </w:r>
      <w:r w:rsidR="00156688">
        <w:t>.</w:t>
      </w:r>
      <w:r w:rsidR="00214A55" w:rsidRPr="00214A55">
        <w:t xml:space="preserve"> </w:t>
      </w:r>
      <w:r w:rsidR="00156688">
        <w:t>T</w:t>
      </w:r>
      <w:r w:rsidR="00214A55" w:rsidRPr="00214A55">
        <w:t>wo different AET of 8 and 10 h</w:t>
      </w:r>
      <w:r w:rsidR="00156688">
        <w:t>/</w:t>
      </w:r>
      <w:r w:rsidR="00214A55" w:rsidRPr="00214A55">
        <w:t xml:space="preserve">day were tested. The results obtained were compared with those previously reported in the literature by Mulone et al. (2024), in which the same operating conditions were applied to an anaerobic reactor characterized by </w:t>
      </w:r>
      <w:r w:rsidR="00156688">
        <w:t xml:space="preserve">a </w:t>
      </w:r>
      <w:r w:rsidR="00214A55" w:rsidRPr="00214A55">
        <w:t>completely mixed hydrodynamic.</w:t>
      </w:r>
    </w:p>
    <w:p w14:paraId="1393957C" w14:textId="7273E31A" w:rsidR="00824AB3" w:rsidRDefault="00824AB3" w:rsidP="00C76BC7">
      <w:pPr>
        <w:pStyle w:val="Corpotesto"/>
        <w:spacing w:after="0"/>
      </w:pPr>
      <w:r>
        <w:t xml:space="preserve">The plant was fed with a synthetic medium at a constant flow rate of 2 L/h. The use of a synthetic influent allowed for precise control of operational parameters (e.g., food-to-microorganism ratio – F/M) </w:t>
      </w:r>
      <w:r w:rsidR="00FF4C0B">
        <w:t xml:space="preserve">when </w:t>
      </w:r>
      <w:r w:rsidR="00CE36A1">
        <w:t>varying</w:t>
      </w:r>
      <w:r>
        <w:t xml:space="preserve"> the aerobic reactor </w:t>
      </w:r>
      <w:r w:rsidR="00CE36A1">
        <w:t>volume.</w:t>
      </w:r>
      <w:r>
        <w:t xml:space="preserve"> </w:t>
      </w:r>
      <w:r w:rsidR="00CE36A1">
        <w:t>Moreover, it</w:t>
      </w:r>
      <w:r>
        <w:t xml:space="preserve"> ensured that the results were not influenced by the qualitative characteristics of the influent. For details on the composition of the synthetic medium, refer to the literature </w:t>
      </w:r>
      <w:r w:rsidR="005B7CE5">
        <w:fldChar w:fldCharType="begin" w:fldLock="1"/>
      </w:r>
      <w:r w:rsidR="007123C7">
        <w:instrText>ADDIN CSL_CITATION {"citationItems":[{"id":"ITEM-1","itemData":{"DOI":"10.1016/j.jenvman.2019.109826","ISSN":"10958630","PMID":"32072954","abstract":"The integration of one anaerobic reactor in the mainstream (AMSR) of a pre-denitritication-MBR was evaluated with the aim to achieve simultaneous sludge minimization and phosphorous removal. The excess sludge production was reduced by 64% when the AMSR was operated under 8 h of hydraulic retention time (HRT). The highest nutrients removal performances referred to organic carbon (98%), nitrogen (90%) and phosphorous (97%) were obtained under 8 h of HRT. In contrast, prolonged anaerobic-endogenous conditions were found to be detrimental for all nutrients removal performances. Similarly, the lowest membrane fouling tendency (FR = 0.65∙1011 m−1 d−1) was achieved under 8 h of HRT, whereas it significantly increased under higher HRT. The highest polyphosphate accumulating organisms kinetics were achieved under HRT of 8 h, showing very high exogenous P-release (46.67 mgPO4-P gVSS−1 h−1) and P-uptake rates (48.6 mgPO4-P gVSS−1 h−1), as well as a not negligible P-release rate under endogenous conditions at low COD/P ratio (≈1).","author":[{"dropping-particle":"","family":"Corsino","given":"Santo Fabio","non-dropping-particle":"","parse-names":false,"suffix":""},{"dropping-particle":"","family":"Oliveira","given":"Taissa Silva","non-dropping-particle":"de","parse-names":false,"suffix":""},{"dropping-particle":"","family":"Trapani","given":"Daniele","non-dropping-particle":"Di","parse-names":false,"suffix":""},{"dropping-particle":"","family":"Torregrossa","given":"Michele","non-dropping-particle":"","parse-names":false,"suffix":""},{"dropping-particle":"","family":"Viviani","given":"Gaspare","non-dropping-particle":"","parse-names":false,"suffix":""}],"container-title":"Journal of Environmental Management","id":"ITEM-1","issued":{"date-parts":[["2020"]]},"page":"10986","title":"Simultaneous sludge minimization, biological phosphorous removal and membrane fouling mitigation in a novel plant layout for MBR","type":"article-journal","volume":"259"},"uris":["http://www.mendeley.com/documents/?uuid=8b9d1743-1b2d-4bf6-9e97-658331107237"]}],"mendeley":{"formattedCitation":"(Corsino et al., 2020)","plainTextFormattedCitation":"(Corsino et al., 2020)","previouslyFormattedCitation":"(Corsino et al., 2020)"},"properties":{"noteIndex":0},"schema":"https://github.com/citation-style-language/schema/raw/master/csl-citation.json"}</w:instrText>
      </w:r>
      <w:r w:rsidR="005B7CE5">
        <w:fldChar w:fldCharType="separate"/>
      </w:r>
      <w:r w:rsidR="005B7CE5" w:rsidRPr="005B7CE5">
        <w:rPr>
          <w:noProof/>
        </w:rPr>
        <w:t>(Corsino et al., 2020)</w:t>
      </w:r>
      <w:r w:rsidR="005B7CE5">
        <w:fldChar w:fldCharType="end"/>
      </w:r>
      <w:r w:rsidR="005B7CE5">
        <w:t>.</w:t>
      </w:r>
    </w:p>
    <w:p w14:paraId="15038F86" w14:textId="3BD5A1FD" w:rsidR="00B935ED" w:rsidRDefault="00824AB3" w:rsidP="00C76BC7">
      <w:pPr>
        <w:pStyle w:val="Corpotesto"/>
        <w:spacing w:after="0"/>
      </w:pPr>
      <w:r>
        <w:t>Figure 1 illustrates a schematic layout of the plant.</w:t>
      </w:r>
      <w:r w:rsidR="0016647E" w:rsidRPr="0016647E">
        <w:t xml:space="preserve"> </w:t>
      </w:r>
    </w:p>
    <w:p w14:paraId="53D1FDB4" w14:textId="2FB1C865" w:rsidR="00C76BC7" w:rsidRDefault="008D74B9" w:rsidP="00A16220">
      <w:pPr>
        <w:pStyle w:val="Corpotesto"/>
        <w:spacing w:after="0"/>
        <w:jc w:val="left"/>
      </w:pPr>
      <w:r w:rsidRPr="008D74B9">
        <w:rPr>
          <w:noProof/>
        </w:rPr>
        <w:drawing>
          <wp:inline distT="0" distB="0" distL="0" distR="0" wp14:anchorId="6BA71CD0" wp14:editId="28E6398A">
            <wp:extent cx="5579745" cy="3298825"/>
            <wp:effectExtent l="0" t="0" r="0" b="0"/>
            <wp:docPr id="20000632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3298825"/>
                    </a:xfrm>
                    <a:prstGeom prst="rect">
                      <a:avLst/>
                    </a:prstGeom>
                    <a:noFill/>
                    <a:ln>
                      <a:noFill/>
                    </a:ln>
                  </pic:spPr>
                </pic:pic>
              </a:graphicData>
            </a:graphic>
          </wp:inline>
        </w:drawing>
      </w:r>
    </w:p>
    <w:p w14:paraId="32D89733" w14:textId="743D3F39" w:rsidR="00B935ED" w:rsidRPr="0062451B" w:rsidRDefault="00B935ED" w:rsidP="00B935ED">
      <w:pPr>
        <w:pStyle w:val="Figure"/>
        <w:rPr>
          <w:rFonts w:ascii="Arial" w:hAnsi="Arial" w:cs="Arial"/>
          <w:sz w:val="18"/>
          <w:szCs w:val="18"/>
        </w:rPr>
      </w:pPr>
      <w:r w:rsidRPr="0062451B">
        <w:rPr>
          <w:rFonts w:ascii="Arial" w:hAnsi="Arial" w:cs="Arial"/>
          <w:sz w:val="18"/>
          <w:szCs w:val="18"/>
        </w:rPr>
        <w:t>Figure 1</w:t>
      </w:r>
      <w:r>
        <w:rPr>
          <w:rFonts w:ascii="Arial" w:hAnsi="Arial" w:cs="Arial"/>
          <w:sz w:val="18"/>
          <w:szCs w:val="18"/>
        </w:rPr>
        <w:t>:</w:t>
      </w:r>
      <w:r w:rsidRPr="0062451B">
        <w:rPr>
          <w:rFonts w:ascii="Arial" w:hAnsi="Arial" w:cs="Arial"/>
          <w:sz w:val="18"/>
          <w:szCs w:val="18"/>
        </w:rPr>
        <w:t xml:space="preserve"> </w:t>
      </w:r>
      <w:r>
        <w:rPr>
          <w:rFonts w:ascii="Arial" w:hAnsi="Arial" w:cs="Arial"/>
          <w:sz w:val="18"/>
          <w:szCs w:val="18"/>
        </w:rPr>
        <w:t xml:space="preserve">Layout of the experimental </w:t>
      </w:r>
      <w:r w:rsidR="00271B06">
        <w:rPr>
          <w:rFonts w:ascii="Arial" w:hAnsi="Arial" w:cs="Arial"/>
          <w:sz w:val="18"/>
          <w:szCs w:val="18"/>
        </w:rPr>
        <w:t>reactors</w:t>
      </w:r>
      <w:r w:rsidRPr="0062451B">
        <w:rPr>
          <w:rFonts w:ascii="Arial" w:hAnsi="Arial" w:cs="Arial"/>
          <w:sz w:val="18"/>
          <w:szCs w:val="18"/>
        </w:rPr>
        <w:t>.</w:t>
      </w:r>
    </w:p>
    <w:p w14:paraId="7E890C23" w14:textId="6502C8B8" w:rsidR="00874D25" w:rsidRDefault="00874D25" w:rsidP="00874D25">
      <w:pPr>
        <w:pStyle w:val="Corpotesto"/>
      </w:pPr>
      <w:r>
        <w:t>To maintain the same F/M ratio, the COD load in the synthetic medium was increased to reach 0.</w:t>
      </w:r>
      <w:r w:rsidR="0082734D">
        <w:t>35</w:t>
      </w:r>
      <w:r>
        <w:t xml:space="preserve"> kg</w:t>
      </w:r>
      <w:r w:rsidR="0082734D">
        <w:t>C</w:t>
      </w:r>
      <w:r>
        <w:t>OD/kgTSS·d, and the nutrient dosage (nitrogen and phosphorus) was increased proportionally to maintain a constant carbon-to-nitrogen-to-phosphorus ratio.</w:t>
      </w:r>
    </w:p>
    <w:p w14:paraId="6AA391EC" w14:textId="10835CA5" w:rsidR="00874D25" w:rsidRDefault="00874D25" w:rsidP="00874D25">
      <w:pPr>
        <w:pStyle w:val="Corpotesto"/>
      </w:pPr>
      <w:r>
        <w:lastRenderedPageBreak/>
        <w:t xml:space="preserve">The effectiveness of the ASSR in terms of excess sludge minimization was assessed using the observed yield coefficient (Yobs). This was calculated by dividing the cumulative mass of total suspended solids (TSS) produced </w:t>
      </w:r>
      <w:r w:rsidR="00FF1054">
        <w:t>(</w:t>
      </w:r>
      <w:r w:rsidR="00FF1054">
        <w:rPr>
          <w:rFonts w:cs="Arial"/>
        </w:rPr>
        <w:t>Δ</w:t>
      </w:r>
      <w:r w:rsidR="00FF1054">
        <w:t xml:space="preserve">X) </w:t>
      </w:r>
      <w:r>
        <w:t xml:space="preserve">by the cumulative mass of </w:t>
      </w:r>
      <w:r w:rsidR="005540BC">
        <w:t>chemical oxygen demand (</w:t>
      </w:r>
      <w:r>
        <w:t>COD</w:t>
      </w:r>
      <w:r w:rsidR="005540BC">
        <w:t>)</w:t>
      </w:r>
      <w:r>
        <w:t xml:space="preserve"> removed (eq. </w:t>
      </w:r>
      <w:r w:rsidR="00104E03">
        <w:t>1</w:t>
      </w:r>
      <w:r>
        <w:t>).</w:t>
      </w:r>
    </w:p>
    <w:p w14:paraId="58241861" w14:textId="3E32DB86" w:rsidR="00874D25" w:rsidRPr="00D566C1" w:rsidRDefault="00BC34DF" w:rsidP="0016647E">
      <w:pPr>
        <w:pStyle w:val="Corpotesto"/>
        <w:spacing w:after="0"/>
      </w:pPr>
      <m:oMathPara>
        <m:oMathParaPr>
          <m:jc m:val="left"/>
        </m:oMathParaPr>
        <m:oMath>
          <m:sSub>
            <m:sSubPr>
              <m:ctrlPr>
                <w:rPr>
                  <w:rFonts w:ascii="Cambria Math" w:hAnsi="Cambria Math"/>
                  <w:i/>
                  <w:szCs w:val="24"/>
                  <w:lang w:val="en-US"/>
                </w:rPr>
              </m:ctrlPr>
            </m:sSubPr>
            <m:e>
              <m:r>
                <w:rPr>
                  <w:rFonts w:ascii="Cambria Math" w:hAnsi="Cambria Math"/>
                  <w:szCs w:val="24"/>
                  <w:lang w:val="en-US"/>
                </w:rPr>
                <m:t>Y</m:t>
              </m:r>
            </m:e>
            <m:sub>
              <m:r>
                <w:rPr>
                  <w:rFonts w:ascii="Cambria Math" w:hAnsi="Cambria Math"/>
                  <w:szCs w:val="24"/>
                  <w:lang w:val="en-US"/>
                </w:rPr>
                <m:t>obs</m:t>
              </m:r>
            </m:sub>
          </m:sSub>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mass of TSS produced</m:t>
              </m:r>
            </m:num>
            <m:den>
              <m:r>
                <w:rPr>
                  <w:rFonts w:ascii="Cambria Math" w:hAnsi="Cambria Math"/>
                  <w:szCs w:val="24"/>
                  <w:lang w:val="en-US"/>
                </w:rPr>
                <m:t>mass of COD removed</m:t>
              </m:r>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∆X</m:t>
              </m:r>
            </m:num>
            <m:den>
              <m:sSub>
                <m:sSubPr>
                  <m:ctrlPr>
                    <w:rPr>
                      <w:rFonts w:ascii="Cambria Math" w:hAnsi="Cambria Math"/>
                      <w:i/>
                      <w:szCs w:val="24"/>
                      <w:lang w:val="en-US"/>
                    </w:rPr>
                  </m:ctrlPr>
                </m:sSubPr>
                <m:e>
                  <m:r>
                    <w:rPr>
                      <w:rFonts w:ascii="Cambria Math" w:hAnsi="Cambria Math"/>
                      <w:szCs w:val="24"/>
                      <w:lang w:val="en-US"/>
                    </w:rPr>
                    <m:t>Q</m:t>
                  </m:r>
                </m:e>
                <m:sub>
                  <m:r>
                    <w:rPr>
                      <w:rFonts w:ascii="Cambria Math" w:hAnsi="Cambria Math"/>
                      <w:szCs w:val="24"/>
                      <w:lang w:val="en-US"/>
                    </w:rPr>
                    <m:t>i</m:t>
                  </m:r>
                </m:sub>
              </m:sSub>
              <m:r>
                <w:rPr>
                  <w:rFonts w:ascii="Cambria Math" w:hAnsi="Cambria Math"/>
                  <w:szCs w:val="24"/>
                  <w:lang w:val="en-US"/>
                </w:rPr>
                <m:t>∙</m:t>
              </m:r>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COD</m:t>
                      </m:r>
                    </m:e>
                    <m:sub>
                      <m:r>
                        <w:rPr>
                          <w:rFonts w:ascii="Cambria Math" w:hAnsi="Cambria Math"/>
                          <w:szCs w:val="24"/>
                          <w:lang w:val="en-US"/>
                        </w:rPr>
                        <m:t>in</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COD</m:t>
                      </m:r>
                    </m:e>
                    <m:sub>
                      <m:r>
                        <w:rPr>
                          <w:rFonts w:ascii="Cambria Math" w:hAnsi="Cambria Math"/>
                          <w:szCs w:val="24"/>
                          <w:lang w:val="en-US"/>
                        </w:rPr>
                        <m:t>out</m:t>
                      </m:r>
                    </m:sub>
                  </m:sSub>
                </m:e>
              </m:d>
            </m:den>
          </m:f>
          <m:r>
            <w:rPr>
              <w:rFonts w:ascii="Cambria Math" w:hAnsi="Cambria Math"/>
              <w:szCs w:val="24"/>
              <w:lang w:val="en-US"/>
            </w:rPr>
            <m:t xml:space="preserve">    </m:t>
          </m:r>
          <m:d>
            <m:dPr>
              <m:begChr m:val="["/>
              <m:endChr m:val="]"/>
              <m:ctrlPr>
                <w:rPr>
                  <w:rFonts w:ascii="Cambria Math" w:hAnsi="Cambria Math"/>
                  <w:i/>
                  <w:szCs w:val="24"/>
                  <w:lang w:val="en-US"/>
                </w:rPr>
              </m:ctrlPr>
            </m:dPr>
            <m:e>
              <m:f>
                <m:fPr>
                  <m:ctrlPr>
                    <w:rPr>
                      <w:rFonts w:ascii="Cambria Math" w:hAnsi="Cambria Math"/>
                      <w:i/>
                      <w:szCs w:val="24"/>
                      <w:lang w:val="en-US"/>
                    </w:rPr>
                  </m:ctrlPr>
                </m:fPr>
                <m:num>
                  <m:r>
                    <w:rPr>
                      <w:rFonts w:ascii="Cambria Math" w:hAnsi="Cambria Math"/>
                      <w:szCs w:val="24"/>
                      <w:lang w:val="en-US"/>
                    </w:rPr>
                    <m:t>gTSS</m:t>
                  </m:r>
                </m:num>
                <m:den>
                  <m:r>
                    <w:rPr>
                      <w:rFonts w:ascii="Cambria Math" w:hAnsi="Cambria Math"/>
                      <w:szCs w:val="24"/>
                      <w:lang w:val="en-US"/>
                    </w:rPr>
                    <m:t>gCOD</m:t>
                  </m:r>
                </m:den>
              </m:f>
            </m:e>
          </m:d>
          <m:r>
            <w:rPr>
              <w:rFonts w:ascii="Cambria Math" w:hAnsi="Cambria Math"/>
              <w:szCs w:val="24"/>
              <w:lang w:val="en-US"/>
            </w:rPr>
            <m:t xml:space="preserve">                                                                               (eq.1)</m:t>
          </m:r>
        </m:oMath>
      </m:oMathPara>
    </w:p>
    <w:p w14:paraId="1BAB58BC" w14:textId="77777777" w:rsidR="00104E03" w:rsidRDefault="00104E03" w:rsidP="0016647E">
      <w:pPr>
        <w:pStyle w:val="Corpotesto"/>
        <w:spacing w:after="0"/>
      </w:pPr>
    </w:p>
    <w:p w14:paraId="604E87BB" w14:textId="5214111F" w:rsidR="00D3385F" w:rsidRDefault="00D3385F" w:rsidP="0016647E">
      <w:pPr>
        <w:pStyle w:val="Corpotesto"/>
        <w:spacing w:after="0"/>
      </w:pPr>
      <w:r>
        <w:t xml:space="preserve">Where the Qi is the </w:t>
      </w:r>
      <w:r w:rsidR="005540BC">
        <w:t>daily volume of wastewater treated, and COD</w:t>
      </w:r>
      <w:r w:rsidR="005540BC" w:rsidRPr="005540BC">
        <w:rPr>
          <w:vertAlign w:val="subscript"/>
        </w:rPr>
        <w:t>in</w:t>
      </w:r>
      <w:r w:rsidR="005540BC">
        <w:t xml:space="preserve"> and COD</w:t>
      </w:r>
      <w:r w:rsidR="005540BC" w:rsidRPr="005540BC">
        <w:rPr>
          <w:vertAlign w:val="subscript"/>
        </w:rPr>
        <w:t xml:space="preserve">out </w:t>
      </w:r>
      <w:r w:rsidR="005540BC">
        <w:t xml:space="preserve">are the influent and effluent, respectively. </w:t>
      </w:r>
    </w:p>
    <w:p w14:paraId="02267DD0" w14:textId="7616FF6E" w:rsidR="0016647E" w:rsidRDefault="007123C7" w:rsidP="0016647E">
      <w:pPr>
        <w:pStyle w:val="Corpotesto"/>
        <w:spacing w:after="0"/>
      </w:pPr>
      <w:r>
        <w:t>All the physical-chemical analyses</w:t>
      </w:r>
      <w:r w:rsidR="0016647E" w:rsidRPr="0016647E">
        <w:t xml:space="preserve"> were </w:t>
      </w:r>
      <w:r>
        <w:t>performed</w:t>
      </w:r>
      <w:r w:rsidR="0016647E" w:rsidRPr="0016647E">
        <w:t xml:space="preserve"> according to Standard Methods</w:t>
      </w:r>
      <w:r>
        <w:t xml:space="preserve"> </w:t>
      </w:r>
      <w:r>
        <w:fldChar w:fldCharType="begin" w:fldLock="1"/>
      </w:r>
      <w:r w:rsidR="005E51EE">
        <w:instrText>ADDIN CSL_CITATION {"citationItems":[{"id":"ITEM-1","itemData":{"DOI":"10.2105/SMWW.2882.002","ISBN":"0875530478","abstract":"\"The Twenty-First Edition has continued the trend to revise methods as issues are identified and contains further refined quality assurance requirements in a number of Parts [sic] and new data on precision and bias. New methods have been added in Parts 2000, 4000, 5000, 6000, 7000, 8000, and 9000, and numerous methods have been revised. Details of these changes appear on the reverse of the title page for each part.\"--pref. p. iv.","author":[{"dropping-particle":"","family":"APHA","given":"","non-dropping-particle":"","parse-names":false,"suffix":""}],"container-title":"American Public Health Association","edition":"11th","id":"ITEM-1","issued":{"date-parts":[["2005"]]},"number-of-pages":"1200","title":"Standard Methods for the Examination of Water &amp; Wastewater","type":"book"},"uris":["http://www.mendeley.com/documents/?uuid=d5c361c3-280f-49b9-87e1-7f66e762bc5b"]}],"mendeley":{"formattedCitation":"(APHA, 2005)","plainTextFormattedCitation":"(APHA, 2005)","previouslyFormattedCitation":"(APHA, 2005)"},"properties":{"noteIndex":0},"schema":"https://github.com/citation-style-language/schema/raw/master/csl-citation.json"}</w:instrText>
      </w:r>
      <w:r>
        <w:fldChar w:fldCharType="separate"/>
      </w:r>
      <w:r w:rsidRPr="007123C7">
        <w:rPr>
          <w:noProof/>
        </w:rPr>
        <w:t>(APHA, 2005)</w:t>
      </w:r>
      <w:r>
        <w:fldChar w:fldCharType="end"/>
      </w:r>
      <w:r w:rsidR="00AC374B">
        <w:t>, including COD, TSS and sludge volume index (SVI) to assess sludge settling characteristics</w:t>
      </w:r>
      <w:r w:rsidR="0016647E" w:rsidRPr="0016647E">
        <w:t>. E</w:t>
      </w:r>
      <w:r>
        <w:t>xtracellular polymeric substances</w:t>
      </w:r>
      <w:r w:rsidR="0016647E" w:rsidRPr="0016647E">
        <w:t xml:space="preserve"> (EPS) were quantified using colorimetric assays, with proteins expressed as bovine serum albumin equivalents and polysaccharides expressed both as D-glucose equivalents.</w:t>
      </w:r>
    </w:p>
    <w:p w14:paraId="29AC7602" w14:textId="5A2FF577" w:rsidR="00597ECA" w:rsidRPr="0016647E" w:rsidRDefault="00597ECA" w:rsidP="0016647E">
      <w:pPr>
        <w:pStyle w:val="Corpotesto"/>
        <w:spacing w:after="0"/>
      </w:pPr>
      <w:r>
        <w:t xml:space="preserve">Before starting the experiment, a </w:t>
      </w:r>
      <w:r w:rsidR="00083AE0">
        <w:t>hydrodynamic test was performed on the ASSR</w:t>
      </w:r>
      <w:r w:rsidR="00083AE0" w:rsidRPr="00083AE0">
        <w:t xml:space="preserve"> </w:t>
      </w:r>
      <w:r w:rsidR="00083AE0" w:rsidRPr="00597ECA">
        <w:t>using</w:t>
      </w:r>
      <w:r w:rsidR="00083AE0">
        <w:t xml:space="preserve"> a concentrated solution of</w:t>
      </w:r>
      <w:r w:rsidR="00083AE0" w:rsidRPr="00597ECA">
        <w:t xml:space="preserve"> sodium chloride </w:t>
      </w:r>
      <w:r w:rsidR="00083AE0">
        <w:t xml:space="preserve">(electrical conductivity 40 mS/cm) </w:t>
      </w:r>
      <w:r w:rsidR="00083AE0" w:rsidRPr="00597ECA">
        <w:t>as a tracer</w:t>
      </w:r>
      <w:r w:rsidR="00D71438">
        <w:t xml:space="preserve">. </w:t>
      </w:r>
      <w:r w:rsidR="005A4916">
        <w:t xml:space="preserve">The NaCl solution was fed continuously with a flow rate of 2 L/h. </w:t>
      </w:r>
      <w:r w:rsidR="00D71438">
        <w:t xml:space="preserve">The trend of the electrical conductivity in each compartment was measured by a dedicated electrode </w:t>
      </w:r>
      <w:r w:rsidR="002B1267">
        <w:t>(</w:t>
      </w:r>
      <w:r w:rsidR="00C204E6">
        <w:t>KLE 325, WTW).</w:t>
      </w:r>
    </w:p>
    <w:p w14:paraId="166C1815" w14:textId="77777777" w:rsidR="0062451B" w:rsidRPr="0062451B" w:rsidRDefault="0062451B" w:rsidP="0062451B">
      <w:pPr>
        <w:pStyle w:val="CETHeading1"/>
        <w:rPr>
          <w:lang w:val="en-GB"/>
        </w:rPr>
      </w:pPr>
      <w:r w:rsidRPr="0062451B">
        <w:rPr>
          <w:lang w:val="en-GB"/>
        </w:rPr>
        <w:t>Results and discussion</w:t>
      </w:r>
    </w:p>
    <w:p w14:paraId="721895EB" w14:textId="3BAC2C89" w:rsidR="008E6CD8" w:rsidRPr="00B57B36" w:rsidRDefault="008E6CD8" w:rsidP="008E6CD8">
      <w:pPr>
        <w:pStyle w:val="CETheadingx"/>
      </w:pPr>
      <w:r>
        <w:t>Hydrodynamic behaviour of the ASSR</w:t>
      </w:r>
    </w:p>
    <w:p w14:paraId="510949B7" w14:textId="4C89E732" w:rsidR="00C54529" w:rsidRDefault="0062451B" w:rsidP="00C54529">
      <w:pPr>
        <w:pStyle w:val="Corpotesto"/>
        <w:spacing w:after="0"/>
      </w:pPr>
      <w:r w:rsidRPr="004E17D6">
        <w:t xml:space="preserve">Figure </w:t>
      </w:r>
      <w:r w:rsidR="009366D4">
        <w:t>2</w:t>
      </w:r>
      <w:r w:rsidRPr="004E17D6">
        <w:t xml:space="preserve"> shows the </w:t>
      </w:r>
      <w:r w:rsidR="004F2F54">
        <w:t xml:space="preserve">results of the </w:t>
      </w:r>
      <w:r w:rsidR="00597ECA" w:rsidRPr="00597ECA">
        <w:t>hydrodynamic test carried out on the ASSR using sodium chloride as a tracer.</w:t>
      </w:r>
    </w:p>
    <w:p w14:paraId="43F90687" w14:textId="7C0D61F2" w:rsidR="00663737" w:rsidRDefault="00A605DC" w:rsidP="00C54529">
      <w:pPr>
        <w:pStyle w:val="Corpotesto"/>
        <w:spacing w:after="0"/>
      </w:pPr>
      <w:r w:rsidRPr="00A605DC">
        <w:rPr>
          <w:noProof/>
        </w:rPr>
        <w:drawing>
          <wp:inline distT="0" distB="0" distL="0" distR="0" wp14:anchorId="47FFAC21" wp14:editId="3B7A3E35">
            <wp:extent cx="4139026" cy="2700000"/>
            <wp:effectExtent l="0" t="0" r="0" b="5715"/>
            <wp:docPr id="30319504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9026" cy="2700000"/>
                    </a:xfrm>
                    <a:prstGeom prst="rect">
                      <a:avLst/>
                    </a:prstGeom>
                    <a:noFill/>
                    <a:ln>
                      <a:noFill/>
                    </a:ln>
                  </pic:spPr>
                </pic:pic>
              </a:graphicData>
            </a:graphic>
          </wp:inline>
        </w:drawing>
      </w:r>
    </w:p>
    <w:p w14:paraId="4279199B" w14:textId="4CCEF9BA" w:rsidR="00995307" w:rsidRPr="00995307" w:rsidRDefault="00995307" w:rsidP="00C54529">
      <w:pPr>
        <w:pStyle w:val="Corpotesto"/>
        <w:spacing w:after="0"/>
        <w:rPr>
          <w:i/>
          <w:iCs/>
        </w:rPr>
      </w:pPr>
      <w:r w:rsidRPr="00995307">
        <w:rPr>
          <w:rFonts w:cs="Arial"/>
          <w:i/>
          <w:iCs/>
          <w:szCs w:val="18"/>
        </w:rPr>
        <w:t>Figure 2: T</w:t>
      </w:r>
      <w:r w:rsidR="00663737" w:rsidRPr="00663737">
        <w:rPr>
          <w:rFonts w:cs="Arial"/>
          <w:i/>
          <w:iCs/>
          <w:szCs w:val="18"/>
        </w:rPr>
        <w:t>racer test results in the ASSR showing electrical conductivity profiles in the six compartments</w:t>
      </w:r>
    </w:p>
    <w:p w14:paraId="582E4225" w14:textId="77777777" w:rsidR="00995307" w:rsidRDefault="00995307" w:rsidP="00C54529">
      <w:pPr>
        <w:pStyle w:val="Corpotesto"/>
        <w:spacing w:after="0"/>
      </w:pPr>
    </w:p>
    <w:p w14:paraId="2A2E4FF2" w14:textId="13ED55C6" w:rsidR="000956A8" w:rsidRDefault="00995307" w:rsidP="00C54529">
      <w:pPr>
        <w:pStyle w:val="Corpotesto"/>
        <w:spacing w:after="0"/>
      </w:pPr>
      <w:r w:rsidRPr="00995307">
        <w:t>In each compartment, electrical conductivity increases rapidly and then gradually approaches a stable plateau, indicating that each compartment behave</w:t>
      </w:r>
      <w:r w:rsidR="00A605DC">
        <w:t>d</w:t>
      </w:r>
      <w:r w:rsidRPr="00995307">
        <w:t xml:space="preserve"> as a completely mixed reactor with efficient local mixing. The smooth shape of the curves and the absence of sharp peaks suggest that tracer dispersion within each compartment </w:t>
      </w:r>
      <w:r w:rsidR="0052203A">
        <w:t>wa</w:t>
      </w:r>
      <w:r w:rsidRPr="00995307">
        <w:t>s dominated by mixing rather than by advective transport. The progressive time delay observed from C</w:t>
      </w:r>
      <w:r w:rsidRPr="00995307">
        <w:rPr>
          <w:rFonts w:ascii="Cambria Math" w:hAnsi="Cambria Math" w:cs="Cambria Math"/>
        </w:rPr>
        <w:t>₁</w:t>
      </w:r>
      <w:r w:rsidRPr="00995307">
        <w:t xml:space="preserve"> to C</w:t>
      </w:r>
      <w:r w:rsidRPr="00995307">
        <w:rPr>
          <w:rFonts w:ascii="Cambria Math" w:hAnsi="Cambria Math" w:cs="Cambria Math"/>
        </w:rPr>
        <w:t>₆</w:t>
      </w:r>
      <w:r w:rsidRPr="00995307">
        <w:t xml:space="preserve"> reflects the serial arrangement of the compartments and confirm</w:t>
      </w:r>
      <w:r w:rsidR="0052203A">
        <w:t>ed</w:t>
      </w:r>
      <w:r w:rsidRPr="00995307">
        <w:t xml:space="preserve"> the sequential transfer of the mixed liquor through the reactor. This </w:t>
      </w:r>
      <w:r w:rsidR="00CC4FD0" w:rsidRPr="00995307">
        <w:t>behaviour</w:t>
      </w:r>
      <w:r w:rsidRPr="00995307">
        <w:t xml:space="preserve"> demonstrate</w:t>
      </w:r>
      <w:r w:rsidR="0052203A">
        <w:t>d</w:t>
      </w:r>
      <w:r w:rsidRPr="00995307">
        <w:t xml:space="preserve"> that, although complete mixing is achieved at the compartment scale, the series configuration of the six units result</w:t>
      </w:r>
      <w:r w:rsidR="0052203A">
        <w:t>ed</w:t>
      </w:r>
      <w:r w:rsidRPr="00995307">
        <w:t xml:space="preserve"> in an overall hydrodynamic regime that closely approximates plug-flow conditions. Such a configuration allow</w:t>
      </w:r>
      <w:r w:rsidR="004C2B5B">
        <w:t>ed</w:t>
      </w:r>
      <w:r w:rsidRPr="00995307">
        <w:t xml:space="preserve"> the </w:t>
      </w:r>
      <w:r w:rsidR="004C2B5B">
        <w:t xml:space="preserve">potential </w:t>
      </w:r>
      <w:r w:rsidRPr="00995307">
        <w:t>establishment of longitudinal gradients along the reactor length while limiting internal short-circuiting, which</w:t>
      </w:r>
      <w:r w:rsidR="004C2B5B">
        <w:t xml:space="preserve"> could be</w:t>
      </w:r>
      <w:r w:rsidRPr="00995307">
        <w:t xml:space="preserve"> particularly relevant for processes in which controlled exposure times and redox gradients play a key role. </w:t>
      </w:r>
    </w:p>
    <w:p w14:paraId="768FD318" w14:textId="77777777" w:rsidR="008E6CD8" w:rsidRDefault="008E6CD8" w:rsidP="00C54529">
      <w:pPr>
        <w:pStyle w:val="Corpotesto"/>
        <w:spacing w:after="0"/>
      </w:pPr>
    </w:p>
    <w:p w14:paraId="27B1F9AA" w14:textId="0A406668" w:rsidR="008E6CD8" w:rsidRPr="00B57B36" w:rsidRDefault="008E6CD8" w:rsidP="008E6CD8">
      <w:pPr>
        <w:pStyle w:val="CETheadingx"/>
      </w:pPr>
      <w:r>
        <w:t>Effect of ASSR compartmentalization on Y</w:t>
      </w:r>
      <w:r w:rsidRPr="008E6CD8">
        <w:rPr>
          <w:vertAlign w:val="subscript"/>
        </w:rPr>
        <w:t>obs</w:t>
      </w:r>
      <w:r>
        <w:t xml:space="preserve"> reduction</w:t>
      </w:r>
    </w:p>
    <w:p w14:paraId="22C9965E" w14:textId="2B2705D9" w:rsidR="00DE0C13" w:rsidRDefault="00DE0C13" w:rsidP="00C54529">
      <w:pPr>
        <w:pStyle w:val="Corpotesto"/>
        <w:spacing w:after="0"/>
      </w:pPr>
      <w:r>
        <w:t>Figure 3 reports the average value of the Yobs obtained in this study, compared to those reported in Mulone et al. (2024).</w:t>
      </w:r>
    </w:p>
    <w:p w14:paraId="05A531CC" w14:textId="7B45D017" w:rsidR="000956A8" w:rsidRDefault="006139FA" w:rsidP="00C54529">
      <w:pPr>
        <w:pStyle w:val="Corpotesto"/>
        <w:spacing w:after="0"/>
      </w:pPr>
      <w:r w:rsidRPr="006139FA">
        <w:lastRenderedPageBreak/>
        <w:t xml:space="preserve">The figure shows that, </w:t>
      </w:r>
      <w:r>
        <w:t>when operating according to CAS layout</w:t>
      </w:r>
      <w:r w:rsidRPr="006139FA">
        <w:t>, the observed yield coefficient</w:t>
      </w:r>
      <w:r>
        <w:t xml:space="preserve"> wa</w:t>
      </w:r>
      <w:r w:rsidRPr="006139FA">
        <w:t>s similar for both configurations, with values of approximately 0.69–0.71 gTSS</w:t>
      </w:r>
      <w:r w:rsidR="006C79D2">
        <w:t>/</w:t>
      </w:r>
      <w:r w:rsidRPr="006139FA">
        <w:t xml:space="preserve">gCOD, indicating comparable baseline biomass production. When the ASSR </w:t>
      </w:r>
      <w:r w:rsidR="006C79D2">
        <w:t>wa</w:t>
      </w:r>
      <w:r w:rsidRPr="006139FA">
        <w:t xml:space="preserve">s introduced, </w:t>
      </w:r>
      <w:r w:rsidR="006C79D2">
        <w:t xml:space="preserve">the </w:t>
      </w:r>
      <w:r w:rsidRPr="006139FA">
        <w:t>Y</w:t>
      </w:r>
      <w:r w:rsidRPr="006C79D2">
        <w:rPr>
          <w:vertAlign w:val="subscript"/>
        </w:rPr>
        <w:t>obs</w:t>
      </w:r>
      <w:r w:rsidRPr="006139FA">
        <w:t xml:space="preserve"> decreases markedly in both cases. In the 1-compartment (1-C) configuration,</w:t>
      </w:r>
      <w:r w:rsidR="006C79D2">
        <w:t xml:space="preserve"> the</w:t>
      </w:r>
      <w:r w:rsidRPr="006139FA">
        <w:t xml:space="preserve"> Y</w:t>
      </w:r>
      <w:r w:rsidRPr="006C79D2">
        <w:rPr>
          <w:vertAlign w:val="subscript"/>
        </w:rPr>
        <w:t>obs</w:t>
      </w:r>
      <w:r w:rsidRPr="006139FA">
        <w:t xml:space="preserve"> decreases to about 0.56 </w:t>
      </w:r>
      <w:r w:rsidR="006C79D2" w:rsidRPr="006139FA">
        <w:t>gTSS</w:t>
      </w:r>
      <w:r w:rsidR="006C79D2">
        <w:t>/</w:t>
      </w:r>
      <w:r w:rsidR="006C79D2" w:rsidRPr="006139FA">
        <w:t xml:space="preserve">gCOD </w:t>
      </w:r>
      <w:r w:rsidRPr="006139FA">
        <w:t>at AET = 8 h</w:t>
      </w:r>
      <w:r w:rsidR="006C79D2">
        <w:rPr>
          <w:rFonts w:cs="Arial"/>
        </w:rPr>
        <w:t>/</w:t>
      </w:r>
      <w:r w:rsidRPr="006139FA">
        <w:t>d and to around 0.41 gTSS</w:t>
      </w:r>
      <w:r w:rsidR="006C79D2">
        <w:t>/</w:t>
      </w:r>
      <w:r w:rsidRPr="006139FA">
        <w:t xml:space="preserve">gCOD at AET = </w:t>
      </w:r>
      <w:r w:rsidR="00DB51A4">
        <w:t>10 h/d</w:t>
      </w:r>
      <w:r w:rsidR="006C79D2">
        <w:t>.</w:t>
      </w:r>
      <w:r w:rsidR="006C79D2" w:rsidRPr="006139FA">
        <w:t xml:space="preserve"> </w:t>
      </w:r>
      <w:r w:rsidRPr="006139FA">
        <w:t>In contrast, the 6-compartment configuration exhibit</w:t>
      </w:r>
      <w:r w:rsidR="00DB51A4">
        <w:t>ed</w:t>
      </w:r>
      <w:r w:rsidRPr="006139FA">
        <w:t xml:space="preserve"> substantially lower Y</w:t>
      </w:r>
      <w:r w:rsidRPr="00DB51A4">
        <w:rPr>
          <w:vertAlign w:val="subscript"/>
        </w:rPr>
        <w:t>obs</w:t>
      </w:r>
      <w:r w:rsidRPr="006139FA">
        <w:t xml:space="preserve"> values at the same AET, reaching approximately 0.29 </w:t>
      </w:r>
      <w:r w:rsidR="00DB51A4" w:rsidRPr="006139FA">
        <w:t>gTSS</w:t>
      </w:r>
      <w:r w:rsidR="00DB51A4">
        <w:t>/</w:t>
      </w:r>
      <w:r w:rsidR="00DB51A4" w:rsidRPr="006139FA">
        <w:t>gCOD</w:t>
      </w:r>
      <w:r w:rsidRPr="006139FA">
        <w:t xml:space="preserve"> at AET = 8 h</w:t>
      </w:r>
      <w:r w:rsidR="00DB51A4">
        <w:t>/</w:t>
      </w:r>
      <w:r w:rsidRPr="006139FA">
        <w:t xml:space="preserve">d and 0.22 </w:t>
      </w:r>
      <w:r w:rsidR="00DB51A4" w:rsidRPr="006139FA">
        <w:t>gTSS</w:t>
      </w:r>
      <w:r w:rsidR="00DB51A4">
        <w:t>/</w:t>
      </w:r>
      <w:r w:rsidR="00DB51A4" w:rsidRPr="006139FA">
        <w:t>gCOD</w:t>
      </w:r>
      <w:r w:rsidRPr="006139FA">
        <w:t xml:space="preserve"> at AET = 10 h</w:t>
      </w:r>
      <w:r w:rsidR="00DB51A4">
        <w:t>/</w:t>
      </w:r>
      <w:r w:rsidRPr="006139FA">
        <w:t>d. Thus, at equal AET, reactor compartmentalization le</w:t>
      </w:r>
      <w:r w:rsidR="00DB51A4">
        <w:t>d</w:t>
      </w:r>
      <w:r w:rsidRPr="006139FA">
        <w:t xml:space="preserve"> to nearly a twofold reduction in Y</w:t>
      </w:r>
      <w:r w:rsidRPr="00B06C1F">
        <w:rPr>
          <w:vertAlign w:val="subscript"/>
        </w:rPr>
        <w:t>obs</w:t>
      </w:r>
      <w:r w:rsidRPr="006139FA">
        <w:t xml:space="preserve"> and, consequently, in excess sludge production. Another relevant outcome </w:t>
      </w:r>
      <w:r w:rsidR="00B06C1F">
        <w:t>wa</w:t>
      </w:r>
      <w:r w:rsidRPr="006139FA">
        <w:t>s that, in the compartmentalized configuration, the additional benefit of increasing AET from 8 to 10 h</w:t>
      </w:r>
      <w:r w:rsidR="00B06C1F">
        <w:t>/</w:t>
      </w:r>
      <w:r w:rsidRPr="006139FA">
        <w:t xml:space="preserve">d </w:t>
      </w:r>
      <w:r w:rsidR="00B06C1F">
        <w:t>wa</w:t>
      </w:r>
      <w:r w:rsidRPr="006139FA">
        <w:t>s less pronounced than in the completely mixed reactor. This suggest</w:t>
      </w:r>
      <w:r w:rsidR="00B06C1F">
        <w:t>ed</w:t>
      </w:r>
      <w:r w:rsidRPr="006139FA">
        <w:t xml:space="preserve"> that plug-flow-like hydrodynamics enhance</w:t>
      </w:r>
      <w:r w:rsidR="00B06C1F">
        <w:t>d</w:t>
      </w:r>
      <w:r w:rsidRPr="006139FA">
        <w:t xml:space="preserve"> sludge reduction efficiency even at lower AET values, allowing better performance at moderate anaerobic exposure compared to completely mixed systems operated at higher AET. A possible explanation </w:t>
      </w:r>
      <w:r w:rsidR="00D12AF7">
        <w:t>wa</w:t>
      </w:r>
      <w:r w:rsidRPr="006139FA">
        <w:t>s that compartmentalization promote</w:t>
      </w:r>
      <w:r w:rsidR="00D12AF7">
        <w:t>d</w:t>
      </w:r>
      <w:r w:rsidRPr="006139FA">
        <w:t xml:space="preserve"> the formation of longitudinal redox and substrate gradients, increasing microbial stress and decay rates locally, while limiting biomass adaptation through continuous mixing. As a result, the selective pressure exerted by anaerobic exposure becomes more effective, reducing the need for longer AET to achieve comparable or improved sludge minimization.</w:t>
      </w:r>
      <w:r w:rsidR="008E6CD8">
        <w:t xml:space="preserve"> </w:t>
      </w:r>
      <w:r w:rsidR="00DE0C13" w:rsidRPr="00DE0C13">
        <w:t>These</w:t>
      </w:r>
      <w:r w:rsidR="008E6CD8">
        <w:t xml:space="preserve"> </w:t>
      </w:r>
      <w:r w:rsidR="00DE0C13" w:rsidRPr="00DE0C13">
        <w:t>results indicate</w:t>
      </w:r>
      <w:r w:rsidR="008065AF">
        <w:t>d</w:t>
      </w:r>
      <w:r w:rsidR="00DE0C13" w:rsidRPr="00DE0C13">
        <w:t xml:space="preserve"> that, in addition to AET, reactor hydrodynamics play</w:t>
      </w:r>
      <w:r w:rsidR="008065AF">
        <w:t>ed</w:t>
      </w:r>
      <w:r w:rsidR="00DE0C13" w:rsidRPr="00DE0C13">
        <w:t xml:space="preserve"> a significant role in controlling biomass yield and excess sludge production.</w:t>
      </w:r>
    </w:p>
    <w:p w14:paraId="0E466E50" w14:textId="56B1139E" w:rsidR="009366D4" w:rsidRDefault="001955AD" w:rsidP="004C437A">
      <w:pPr>
        <w:pStyle w:val="Corpotesto"/>
        <w:spacing w:after="0"/>
      </w:pPr>
      <w:r w:rsidRPr="001955AD">
        <w:rPr>
          <w:noProof/>
        </w:rPr>
        <w:drawing>
          <wp:inline distT="0" distB="0" distL="0" distR="0" wp14:anchorId="022D2600" wp14:editId="2E0EB8BB">
            <wp:extent cx="4137584" cy="2700000"/>
            <wp:effectExtent l="0" t="0" r="0" b="5715"/>
            <wp:docPr id="7412228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7584" cy="2700000"/>
                    </a:xfrm>
                    <a:prstGeom prst="rect">
                      <a:avLst/>
                    </a:prstGeom>
                    <a:noFill/>
                    <a:ln>
                      <a:noFill/>
                    </a:ln>
                  </pic:spPr>
                </pic:pic>
              </a:graphicData>
            </a:graphic>
          </wp:inline>
        </w:drawing>
      </w:r>
    </w:p>
    <w:p w14:paraId="4A339B56" w14:textId="7C7D340B" w:rsidR="001955AD" w:rsidRDefault="001955AD" w:rsidP="001955AD">
      <w:pPr>
        <w:pStyle w:val="Corpotesto"/>
        <w:spacing w:after="0"/>
        <w:rPr>
          <w:rFonts w:cs="Arial"/>
          <w:i/>
          <w:iCs/>
          <w:szCs w:val="18"/>
        </w:rPr>
      </w:pPr>
      <w:r w:rsidRPr="00995307">
        <w:rPr>
          <w:rFonts w:cs="Arial"/>
          <w:i/>
          <w:iCs/>
          <w:szCs w:val="18"/>
        </w:rPr>
        <w:t xml:space="preserve">Figure </w:t>
      </w:r>
      <w:r>
        <w:rPr>
          <w:rFonts w:cs="Arial"/>
          <w:i/>
          <w:iCs/>
          <w:szCs w:val="18"/>
        </w:rPr>
        <w:t>3</w:t>
      </w:r>
      <w:r w:rsidRPr="00995307">
        <w:rPr>
          <w:rFonts w:cs="Arial"/>
          <w:i/>
          <w:iCs/>
          <w:szCs w:val="18"/>
        </w:rPr>
        <w:t xml:space="preserve">: </w:t>
      </w:r>
      <w:r>
        <w:rPr>
          <w:rFonts w:cs="Arial"/>
          <w:i/>
          <w:iCs/>
          <w:szCs w:val="18"/>
        </w:rPr>
        <w:t xml:space="preserve">Average values of the Yobs </w:t>
      </w:r>
      <w:r w:rsidR="00C51A2A">
        <w:rPr>
          <w:rFonts w:cs="Arial"/>
          <w:i/>
          <w:iCs/>
          <w:szCs w:val="18"/>
        </w:rPr>
        <w:t>obtained in this study (6-C) compared with those reported by Mulone et al. (2024) (1-C)</w:t>
      </w:r>
    </w:p>
    <w:p w14:paraId="47A07FBF" w14:textId="77777777" w:rsidR="00707BC1" w:rsidRDefault="00707BC1" w:rsidP="001955AD">
      <w:pPr>
        <w:pStyle w:val="Corpotesto"/>
        <w:spacing w:after="0"/>
        <w:rPr>
          <w:rFonts w:cs="Arial"/>
          <w:i/>
          <w:iCs/>
          <w:szCs w:val="18"/>
        </w:rPr>
      </w:pPr>
    </w:p>
    <w:p w14:paraId="394903AD" w14:textId="0CD31A86" w:rsidR="00DF41EF" w:rsidRPr="00DF41EF" w:rsidRDefault="00DF41EF" w:rsidP="00DF41EF">
      <w:pPr>
        <w:pStyle w:val="Corpotesto"/>
        <w:spacing w:after="0"/>
      </w:pPr>
      <w:r w:rsidRPr="00DF41EF">
        <w:t>Additional ORP measurements conducted within the anaerobic reactor revealed the establishment of a clear redox gradient along the longitudinal axis of the system. Specifically, ORP values decreased progressively from −192.4 mV in the first compartment to −311.7 mV in the final compartment.</w:t>
      </w:r>
    </w:p>
    <w:p w14:paraId="411ED9CA" w14:textId="36701FF4" w:rsidR="00DF41EF" w:rsidRPr="00DF41EF" w:rsidRDefault="00DF41EF" w:rsidP="00DF41EF">
      <w:pPr>
        <w:pStyle w:val="Corpotesto"/>
        <w:spacing w:after="0"/>
      </w:pPr>
      <w:r w:rsidRPr="00DF41EF">
        <w:t xml:space="preserve">This marked shift toward more reducing conditions of the </w:t>
      </w:r>
      <w:r w:rsidR="00C3050A">
        <w:t>ASSR</w:t>
      </w:r>
      <w:r w:rsidRPr="00DF41EF">
        <w:t xml:space="preserve"> can be attributed to the progressive depletion of residual electron acceptors and the concomitant intensification of strictly anaerobic metabolic pathways. In ASSR configurations, such strongly reducing environments are known to promote endogenous decay, cell lysis, and cryptic growth mechanisms</w:t>
      </w:r>
      <w:r w:rsidR="00C3050A">
        <w:t xml:space="preserve"> (Mulone et al., 2024)</w:t>
      </w:r>
      <w:r w:rsidRPr="00DF41EF">
        <w:t>. Under these conditions, biomass under</w:t>
      </w:r>
      <w:r w:rsidR="00C3050A">
        <w:t>went</w:t>
      </w:r>
      <w:r w:rsidRPr="00DF41EF">
        <w:t xml:space="preserve"> extended exposure to substrate-limited and highly reducing environments, leading to increased maintenance energy requirements and partial mineralization of intracellular storage compounds.</w:t>
      </w:r>
    </w:p>
    <w:p w14:paraId="57960155" w14:textId="3980152B" w:rsidR="00DF41EF" w:rsidRPr="00DF41EF" w:rsidRDefault="00DF41EF" w:rsidP="00DF41EF">
      <w:pPr>
        <w:pStyle w:val="Corpotesto"/>
        <w:spacing w:after="0"/>
      </w:pPr>
      <w:r w:rsidRPr="00DF41EF">
        <w:t>The progressively lower ORP values observed in the final compartment indicate</w:t>
      </w:r>
      <w:r w:rsidR="00C3050A">
        <w:t>d</w:t>
      </w:r>
      <w:r w:rsidRPr="00DF41EF">
        <w:t xml:space="preserve"> enhanced anaerobic degradation processes, which are directly associated with reduced net biomass yield. The establishment of a pronounced redox gradient support</w:t>
      </w:r>
      <w:r w:rsidR="004E3A5D">
        <w:t>ed</w:t>
      </w:r>
      <w:r w:rsidRPr="00DF41EF">
        <w:t xml:space="preserve"> the hypothesis that prolonged exposure of return sludge to highly reducing conditions</w:t>
      </w:r>
      <w:r w:rsidR="004E3A5D">
        <w:t xml:space="preserve"> was</w:t>
      </w:r>
      <w:r w:rsidRPr="00DF41EF">
        <w:t xml:space="preserve"> a key mechanism </w:t>
      </w:r>
      <w:r w:rsidR="004E3A5D">
        <w:t>allowing to further reduction in excess</w:t>
      </w:r>
      <w:r w:rsidRPr="00DF41EF">
        <w:t xml:space="preserve"> sludge production</w:t>
      </w:r>
      <w:r w:rsidR="004E3A5D">
        <w:t>.</w:t>
      </w:r>
    </w:p>
    <w:p w14:paraId="6B7B151A" w14:textId="2BC07923" w:rsidR="00BC6407" w:rsidRPr="00B57B36" w:rsidRDefault="00BC6407" w:rsidP="00BC6407">
      <w:pPr>
        <w:pStyle w:val="CETheadingx"/>
      </w:pPr>
      <w:r>
        <w:t xml:space="preserve">Mechanisms of sludge minimization: </w:t>
      </w:r>
      <w:r w:rsidR="00DC49F4">
        <w:t>EPS destructuration</w:t>
      </w:r>
    </w:p>
    <w:p w14:paraId="6FE45A3F" w14:textId="5A7EDF87" w:rsidR="00B23F5D" w:rsidRDefault="00B23F5D" w:rsidP="00B23F5D">
      <w:pPr>
        <w:pStyle w:val="Corpotesto"/>
        <w:spacing w:after="0"/>
      </w:pPr>
      <w:r w:rsidRPr="00B23F5D">
        <w:t xml:space="preserve">Figure </w:t>
      </w:r>
      <w:r w:rsidR="00C66532">
        <w:t>4</w:t>
      </w:r>
      <w:r w:rsidRPr="00B23F5D">
        <w:t xml:space="preserve"> illustrates the longitudinal evolution of </w:t>
      </w:r>
      <w:r w:rsidR="003A187B">
        <w:t>the bound</w:t>
      </w:r>
      <w:r w:rsidRPr="00B23F5D">
        <w:t xml:space="preserve"> EPS and soluble microbial products (SMP) along the six completely mixed compartments of the compartmentalized ASSR, compared with the con</w:t>
      </w:r>
      <w:r w:rsidR="00EB4B59">
        <w:t>centration measured in the aerobic reactor</w:t>
      </w:r>
      <w:r w:rsidRPr="00B23F5D">
        <w:t xml:space="preserve"> (AE).</w:t>
      </w:r>
    </w:p>
    <w:p w14:paraId="210CED4F" w14:textId="77777777" w:rsidR="00C66532" w:rsidRDefault="00C66532" w:rsidP="00B23F5D">
      <w:pPr>
        <w:pStyle w:val="Corpotesto"/>
        <w:spacing w:after="0"/>
      </w:pPr>
    </w:p>
    <w:p w14:paraId="69118196" w14:textId="07BA753D" w:rsidR="00C66532" w:rsidRDefault="00C66532" w:rsidP="00B23F5D">
      <w:pPr>
        <w:pStyle w:val="Corpotesto"/>
        <w:spacing w:after="0"/>
      </w:pPr>
      <w:r w:rsidRPr="00C66532">
        <w:rPr>
          <w:noProof/>
        </w:rPr>
        <w:lastRenderedPageBreak/>
        <w:drawing>
          <wp:inline distT="0" distB="0" distL="0" distR="0" wp14:anchorId="77FD9AD5" wp14:editId="077A0B6E">
            <wp:extent cx="4134697" cy="2700000"/>
            <wp:effectExtent l="0" t="0" r="0" b="5715"/>
            <wp:docPr id="17254920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4697" cy="2700000"/>
                    </a:xfrm>
                    <a:prstGeom prst="rect">
                      <a:avLst/>
                    </a:prstGeom>
                    <a:noFill/>
                    <a:ln>
                      <a:noFill/>
                    </a:ln>
                  </pic:spPr>
                </pic:pic>
              </a:graphicData>
            </a:graphic>
          </wp:inline>
        </w:drawing>
      </w:r>
    </w:p>
    <w:p w14:paraId="7F42856B" w14:textId="13F1B485" w:rsidR="00C66532" w:rsidRPr="00995307" w:rsidRDefault="00C66532" w:rsidP="00C66532">
      <w:pPr>
        <w:pStyle w:val="Corpotesto"/>
        <w:spacing w:after="0"/>
        <w:rPr>
          <w:i/>
          <w:iCs/>
        </w:rPr>
      </w:pPr>
      <w:r w:rsidRPr="00995307">
        <w:rPr>
          <w:rFonts w:cs="Arial"/>
          <w:i/>
          <w:iCs/>
          <w:szCs w:val="18"/>
        </w:rPr>
        <w:t xml:space="preserve">Figure </w:t>
      </w:r>
      <w:r>
        <w:rPr>
          <w:rFonts w:cs="Arial"/>
          <w:i/>
          <w:iCs/>
          <w:szCs w:val="18"/>
        </w:rPr>
        <w:t>4</w:t>
      </w:r>
      <w:r w:rsidRPr="00995307">
        <w:rPr>
          <w:rFonts w:cs="Arial"/>
          <w:i/>
          <w:iCs/>
          <w:szCs w:val="18"/>
        </w:rPr>
        <w:t xml:space="preserve">: </w:t>
      </w:r>
      <w:r w:rsidR="007F6C3A">
        <w:rPr>
          <w:rFonts w:cs="Arial"/>
          <w:i/>
          <w:iCs/>
          <w:szCs w:val="18"/>
        </w:rPr>
        <w:t>Concentration of the EPS and SMP</w:t>
      </w:r>
      <w:r w:rsidR="00EB4B59">
        <w:rPr>
          <w:rFonts w:cs="Arial"/>
          <w:i/>
          <w:iCs/>
          <w:szCs w:val="18"/>
        </w:rPr>
        <w:t xml:space="preserve"> in the aerobic reactor and the ASSR into all the six compartments</w:t>
      </w:r>
    </w:p>
    <w:p w14:paraId="16FDADDB" w14:textId="77777777" w:rsidR="00C66532" w:rsidRPr="00B23F5D" w:rsidRDefault="00C66532" w:rsidP="00B23F5D">
      <w:pPr>
        <w:pStyle w:val="Corpotesto"/>
        <w:spacing w:after="0"/>
      </w:pPr>
    </w:p>
    <w:p w14:paraId="2667269D" w14:textId="6F41DB25" w:rsidR="00B23F5D" w:rsidRPr="00B23F5D" w:rsidRDefault="00EB4B59" w:rsidP="00B23F5D">
      <w:pPr>
        <w:pStyle w:val="Corpotesto"/>
        <w:spacing w:after="0"/>
      </w:pPr>
      <w:r>
        <w:t>The</w:t>
      </w:r>
      <w:r w:rsidR="00B23F5D" w:rsidRPr="00B23F5D">
        <w:t xml:space="preserve"> EPS </w:t>
      </w:r>
      <w:r>
        <w:t xml:space="preserve">measured in the aerobic reactor </w:t>
      </w:r>
      <w:r w:rsidR="00B23F5D" w:rsidRPr="00B23F5D">
        <w:t>show</w:t>
      </w:r>
      <w:r>
        <w:t xml:space="preserve">ed </w:t>
      </w:r>
      <w:r w:rsidR="00B23F5D" w:rsidRPr="00B23F5D">
        <w:t>the highest concentration (approximately 243 mg</w:t>
      </w:r>
      <w:r w:rsidR="008E16E8">
        <w:t>/</w:t>
      </w:r>
      <w:r w:rsidR="00B23F5D" w:rsidRPr="00B23F5D">
        <w:t xml:space="preserve">gTSS), whereas SMP </w:t>
      </w:r>
      <w:r>
        <w:t>we</w:t>
      </w:r>
      <w:r w:rsidR="00B23F5D" w:rsidRPr="00B23F5D">
        <w:t>re almost negligible (approximately 3 mg</w:t>
      </w:r>
      <w:r w:rsidR="008E16E8">
        <w:t>/</w:t>
      </w:r>
      <w:r w:rsidR="00B23F5D" w:rsidRPr="00B23F5D">
        <w:t>gTSS), indicating a floc structure mainly sustained by a dense matrix of bound polymeric substances.</w:t>
      </w:r>
    </w:p>
    <w:p w14:paraId="5E411519" w14:textId="578E12F0" w:rsidR="00B23F5D" w:rsidRPr="00B23F5D" w:rsidRDefault="00B23F5D" w:rsidP="00B23F5D">
      <w:pPr>
        <w:pStyle w:val="Corpotesto"/>
        <w:spacing w:after="0"/>
      </w:pPr>
      <w:r w:rsidRPr="00B23F5D">
        <w:t xml:space="preserve">When sludge </w:t>
      </w:r>
      <w:r w:rsidR="002C6AE5">
        <w:t>wa</w:t>
      </w:r>
      <w:r w:rsidRPr="00B23F5D">
        <w:t xml:space="preserve">s treated in the ASSR, a clear and progressive modification of the organic matrix </w:t>
      </w:r>
      <w:r w:rsidR="002C6AE5">
        <w:t>wa</w:t>
      </w:r>
      <w:r w:rsidRPr="00B23F5D">
        <w:t>s observed along the reactor. EPS decrease from about 196 mg</w:t>
      </w:r>
      <w:r w:rsidR="00E83083">
        <w:t>/</w:t>
      </w:r>
      <w:r w:rsidRPr="00B23F5D">
        <w:t xml:space="preserve">gTSS in C1 to about 148 </w:t>
      </w:r>
      <w:r w:rsidR="00E83083" w:rsidRPr="00B23F5D">
        <w:t>mg</w:t>
      </w:r>
      <w:r w:rsidR="00E83083">
        <w:t>/</w:t>
      </w:r>
      <w:r w:rsidR="00E83083" w:rsidRPr="00B23F5D">
        <w:t xml:space="preserve">gTSS </w:t>
      </w:r>
      <w:r w:rsidRPr="00B23F5D">
        <w:t xml:space="preserve">in C2 and to about 127 </w:t>
      </w:r>
      <w:r w:rsidR="00E83083" w:rsidRPr="00B23F5D">
        <w:t>mg</w:t>
      </w:r>
      <w:r w:rsidR="00E83083">
        <w:t>/</w:t>
      </w:r>
      <w:r w:rsidR="00E83083" w:rsidRPr="00B23F5D">
        <w:t xml:space="preserve">gTSS </w:t>
      </w:r>
      <w:r w:rsidRPr="00B23F5D">
        <w:t xml:space="preserve">in C3, reaching values close to 105 </w:t>
      </w:r>
      <w:r w:rsidR="00E83083" w:rsidRPr="00B23F5D">
        <w:t>mg</w:t>
      </w:r>
      <w:r w:rsidR="00E83083">
        <w:t>/</w:t>
      </w:r>
      <w:r w:rsidR="00E83083" w:rsidRPr="00B23F5D">
        <w:t xml:space="preserve">gTSS </w:t>
      </w:r>
      <w:r w:rsidRPr="00B23F5D">
        <w:t xml:space="preserve">in C4 and remaining low in C5 and C6 (approximately 108 and 100 </w:t>
      </w:r>
      <w:r w:rsidR="00E83083" w:rsidRPr="00B23F5D">
        <w:t>mg</w:t>
      </w:r>
      <w:r w:rsidR="00E83083">
        <w:t>/</w:t>
      </w:r>
      <w:r w:rsidR="00E83083" w:rsidRPr="00B23F5D">
        <w:t>gTSS</w:t>
      </w:r>
      <w:r w:rsidRPr="00B23F5D">
        <w:t xml:space="preserve">, respectively). In parallel, SMP increase steadily from about 23 </w:t>
      </w:r>
      <w:r w:rsidR="00E83083" w:rsidRPr="00B23F5D">
        <w:t>mg</w:t>
      </w:r>
      <w:r w:rsidR="00E83083">
        <w:t>/</w:t>
      </w:r>
      <w:r w:rsidR="00E83083" w:rsidRPr="00B23F5D">
        <w:t xml:space="preserve">gTSS </w:t>
      </w:r>
      <w:r w:rsidRPr="00B23F5D">
        <w:t xml:space="preserve">in C1 to about 27 mg </w:t>
      </w:r>
      <w:r w:rsidR="00E83083" w:rsidRPr="00B23F5D">
        <w:t>mg</w:t>
      </w:r>
      <w:r w:rsidR="00E83083">
        <w:t>/</w:t>
      </w:r>
      <w:r w:rsidR="00E83083" w:rsidRPr="00B23F5D">
        <w:t xml:space="preserve">gTSS </w:t>
      </w:r>
      <w:r w:rsidRPr="00B23F5D">
        <w:t xml:space="preserve">in C2, 45 </w:t>
      </w:r>
      <w:r w:rsidR="00E83083" w:rsidRPr="00B23F5D">
        <w:t>mg</w:t>
      </w:r>
      <w:r w:rsidR="00E83083">
        <w:t>/</w:t>
      </w:r>
      <w:r w:rsidR="00E83083" w:rsidRPr="00B23F5D">
        <w:t xml:space="preserve">gTSS </w:t>
      </w:r>
      <w:r w:rsidRPr="00B23F5D">
        <w:t xml:space="preserve">in C3 and 58 </w:t>
      </w:r>
      <w:r w:rsidR="00E83083" w:rsidRPr="00B23F5D">
        <w:t>mg</w:t>
      </w:r>
      <w:r w:rsidR="00E83083">
        <w:t>/</w:t>
      </w:r>
      <w:r w:rsidR="00E83083" w:rsidRPr="00B23F5D">
        <w:t xml:space="preserve">gTSS </w:t>
      </w:r>
      <w:r w:rsidRPr="00B23F5D">
        <w:t xml:space="preserve">in C4, attaining the highest levels in the last compartments (approximately 75 </w:t>
      </w:r>
      <w:r w:rsidR="00E83083" w:rsidRPr="00B23F5D">
        <w:t>mg</w:t>
      </w:r>
      <w:r w:rsidR="00E83083">
        <w:t>/</w:t>
      </w:r>
      <w:r w:rsidR="00E83083" w:rsidRPr="00B23F5D">
        <w:t xml:space="preserve">gTSS </w:t>
      </w:r>
      <w:r w:rsidRPr="00B23F5D">
        <w:t xml:space="preserve">in C5 and 78 </w:t>
      </w:r>
      <w:r w:rsidR="00E83083" w:rsidRPr="00B23F5D">
        <w:t>mg</w:t>
      </w:r>
      <w:r w:rsidR="00E83083">
        <w:t>/</w:t>
      </w:r>
      <w:r w:rsidR="00E83083" w:rsidRPr="00B23F5D">
        <w:t xml:space="preserve">gTSS </w:t>
      </w:r>
      <w:r w:rsidRPr="00B23F5D">
        <w:t>in C6).</w:t>
      </w:r>
    </w:p>
    <w:p w14:paraId="01D3458A" w14:textId="13501B61" w:rsidR="00B23F5D" w:rsidRPr="00B23F5D" w:rsidRDefault="00B23F5D" w:rsidP="00B23F5D">
      <w:pPr>
        <w:pStyle w:val="Corpotesto"/>
        <w:spacing w:after="0"/>
      </w:pPr>
      <w:r w:rsidRPr="00B23F5D">
        <w:t>The opposite trends of EPS and SMP along the six compartments provide</w:t>
      </w:r>
      <w:r w:rsidR="00E83083">
        <w:t>d</w:t>
      </w:r>
      <w:r w:rsidRPr="00B23F5D">
        <w:t xml:space="preserve"> </w:t>
      </w:r>
      <w:r w:rsidR="005E51EE">
        <w:t>direct evidence</w:t>
      </w:r>
      <w:r w:rsidRPr="00B23F5D">
        <w:t xml:space="preserve"> of a progressive destructuration of the extracellular polymeric matrix within the anaerobic reactor.</w:t>
      </w:r>
      <w:r w:rsidR="00746327">
        <w:t xml:space="preserve"> Compared with the </w:t>
      </w:r>
      <w:r w:rsidR="00A6560C">
        <w:t xml:space="preserve">ASSR configuration with a single compartment, the effect of EPS destruction was more marked. Indeed, </w:t>
      </w:r>
      <w:r w:rsidR="008D23FB">
        <w:t xml:space="preserve">results reported by Mulone et al. (2024) indicated a </w:t>
      </w:r>
      <w:r w:rsidR="00952D80">
        <w:t xml:space="preserve">lower </w:t>
      </w:r>
      <w:r w:rsidR="001576B7">
        <w:t>decrease in EPS concentrations from the aerobic</w:t>
      </w:r>
      <w:r w:rsidR="00952D80">
        <w:t xml:space="preserve"> (313 </w:t>
      </w:r>
      <w:r w:rsidR="00952D80" w:rsidRPr="00B23F5D">
        <w:t>mg</w:t>
      </w:r>
      <w:r w:rsidR="00952D80">
        <w:t>/</w:t>
      </w:r>
      <w:r w:rsidR="00952D80" w:rsidRPr="00B23F5D">
        <w:t>gTSS</w:t>
      </w:r>
      <w:r w:rsidR="00952D80">
        <w:t>)</w:t>
      </w:r>
      <w:r w:rsidR="001576B7">
        <w:t xml:space="preserve"> to the anaerobic reactor</w:t>
      </w:r>
      <w:r w:rsidR="00952D80">
        <w:t xml:space="preserve"> (272 </w:t>
      </w:r>
      <w:r w:rsidR="00952D80" w:rsidRPr="00B23F5D">
        <w:t>mg</w:t>
      </w:r>
      <w:r w:rsidR="00952D80">
        <w:t>/</w:t>
      </w:r>
      <w:r w:rsidR="00952D80" w:rsidRPr="00B23F5D">
        <w:t>gTSS</w:t>
      </w:r>
      <w:r w:rsidR="00952D80">
        <w:t>).</w:t>
      </w:r>
      <w:r w:rsidR="002643A0">
        <w:t xml:space="preserve"> This result suggested that the occurrence of ORP gradients within the </w:t>
      </w:r>
      <w:r w:rsidR="00B2070C">
        <w:t xml:space="preserve">compartmentalized </w:t>
      </w:r>
      <w:r w:rsidR="002643A0">
        <w:t xml:space="preserve">ASSR </w:t>
      </w:r>
      <w:r w:rsidR="00B2070C">
        <w:t xml:space="preserve">promoted </w:t>
      </w:r>
      <w:r w:rsidR="00A71930">
        <w:t xml:space="preserve">a greater destructuration of the EPS matrix. </w:t>
      </w:r>
    </w:p>
    <w:p w14:paraId="211F705D" w14:textId="45A7774E" w:rsidR="00B23F5D" w:rsidRPr="00B23F5D" w:rsidRDefault="00B23F5D" w:rsidP="00B23F5D">
      <w:pPr>
        <w:pStyle w:val="Corpotesto"/>
        <w:spacing w:after="0"/>
      </w:pPr>
      <w:r w:rsidRPr="00B23F5D">
        <w:t>EPS constitute the structural backbone of activated sludge flocs and are mainly composed of high-molecular-weight proteins and polysaccharides</w:t>
      </w:r>
      <w:r w:rsidR="005E51EE">
        <w:t xml:space="preserve"> </w:t>
      </w:r>
      <w:r w:rsidR="005E51EE">
        <w:fldChar w:fldCharType="begin" w:fldLock="1"/>
      </w:r>
      <w:r w:rsidR="00CE068C">
        <w:instrText>ADDIN CSL_CITATION {"citationItems":[{"id":"ITEM-1","itemData":{"DOI":"10.1016/j.memsci.2006.08.019","ISBN":"0376-7388","ISSN":"03767388","PMID":"19560268","abstract":"The membrane bioreactor (MBR) can no longer be considered as a novel process. This reliable and efficient technology has become a legitimate alternative to conventional activated sludge processes and an option of choice for many domestic and industrial applications. However, membrane fouling and its consequences in terms of plant maintenance and operating costs limit the widespread application of MBRs. To provide a better understanding of the complex fouling mechanisms and propensities occurring in MBR processes, this review compiles and analyses more than 300 publications. This paper also proposes updated definitions of key parameters such as critical and sustainable flux, along with standard methods to determine and measure the different fractions of the biomass. Although there is no clear consensus on the exact phenomena occurring on the membrane interface during activated sludge filtration, many publications indicate that the extracellular polymeric substances (EPS) play a major role during fouling formation. More precisely, the carbohydrate fraction from the soluble microbial product (also called soluble EPS or biomass supernatant) has been often cited as the main factor affecting MBR fouling, although the role of the protein compounds in the fouling formation is still to be clarified. Strategies to limit fouling include manipulating bioreactor conditions, adjusting hydrodynamics and flux and optimizing module design. ?? 2006 Elsevier B.V. All rights reserved.","author":[{"dropping-particle":"","family":"Le-Clech","given":"Pierre","non-dropping-particle":"","parse-names":false,"suffix":""},{"dropping-particle":"","family":"Chen","given":"Vicki","non-dropping-particle":"","parse-names":false,"suffix":""},{"dropping-particle":"","family":"Fane","given":"Tony A G","non-dropping-particle":"","parse-names":false,"suffix":""}],"container-title":"Journal of Membrane Science","id":"ITEM-1","issue":"1-2","issued":{"date-parts":[["2006"]]},"page":"17-53","title":"Fouling in membrane bioreactors used in wastewater treatment","type":"article-journal","volume":"284"},"uris":["http://www.mendeley.com/documents/?uuid=c18a878d-9e52-482e-ab6c-c85a16738797"]}],"mendeley":{"formattedCitation":"(Le-Clech et al., 2006)","plainTextFormattedCitation":"(Le-Clech et al., 2006)","previouslyFormattedCitation":"(Le-Clech et al., 2006)"},"properties":{"noteIndex":0},"schema":"https://github.com/citation-style-language/schema/raw/master/csl-citation.json"}</w:instrText>
      </w:r>
      <w:r w:rsidR="005E51EE">
        <w:fldChar w:fldCharType="separate"/>
      </w:r>
      <w:r w:rsidR="005E51EE" w:rsidRPr="005E51EE">
        <w:rPr>
          <w:noProof/>
        </w:rPr>
        <w:t>(Le-Clech et al., 2006)</w:t>
      </w:r>
      <w:r w:rsidR="005E51EE">
        <w:fldChar w:fldCharType="end"/>
      </w:r>
      <w:r w:rsidRPr="00B23F5D">
        <w:t xml:space="preserve">. Under anaerobic conditions, </w:t>
      </w:r>
      <w:r w:rsidR="008E14E0">
        <w:t xml:space="preserve">the lack of external carbon source </w:t>
      </w:r>
      <w:r w:rsidRPr="00B23F5D">
        <w:t xml:space="preserve">promotes the </w:t>
      </w:r>
      <w:r w:rsidR="008E14E0">
        <w:t>use</w:t>
      </w:r>
      <w:r w:rsidRPr="00B23F5D">
        <w:t xml:space="preserve"> of these macromolecular compounds</w:t>
      </w:r>
      <w:r w:rsidR="008E14E0">
        <w:t xml:space="preserve"> as </w:t>
      </w:r>
      <w:r w:rsidR="002A28CC">
        <w:t>reserve substrate</w:t>
      </w:r>
      <w:r w:rsidRPr="00B23F5D">
        <w:t xml:space="preserve">. As a result, bound EPS </w:t>
      </w:r>
      <w:r w:rsidR="002A28CC">
        <w:t>we</w:t>
      </w:r>
      <w:r w:rsidRPr="00B23F5D">
        <w:t xml:space="preserve">re progressively solubilised and converted into low-molecular-weight products that accumulate in the liquid phase as SMP. The marked increase in SMP observed between C2 and C4 (from approximately 27 to 58 </w:t>
      </w:r>
      <w:r w:rsidR="002A28CC" w:rsidRPr="00B23F5D">
        <w:t>mg</w:t>
      </w:r>
      <w:r w:rsidR="002A28CC">
        <w:t>/</w:t>
      </w:r>
      <w:r w:rsidR="002A28CC" w:rsidRPr="00B23F5D">
        <w:t>gTSS</w:t>
      </w:r>
      <w:r w:rsidRPr="00B23F5D">
        <w:t>) suggest</w:t>
      </w:r>
      <w:r w:rsidR="002A28CC">
        <w:t>ed</w:t>
      </w:r>
      <w:r w:rsidRPr="00B23F5D">
        <w:t xml:space="preserve"> that hydrolysis becomes increasingly relevant with increasing exposure time to anaerobic conditions. The stabilization of EPS at low levels in the final compartments indicate</w:t>
      </w:r>
      <w:r w:rsidR="00891010">
        <w:t>d</w:t>
      </w:r>
      <w:r w:rsidRPr="00B23F5D">
        <w:t xml:space="preserve"> that most of the readily hydrolysable fraction of the polymeric matrix </w:t>
      </w:r>
      <w:r w:rsidR="00891010">
        <w:t>was</w:t>
      </w:r>
      <w:r w:rsidRPr="00B23F5D">
        <w:t xml:space="preserve"> already disrupted.</w:t>
      </w:r>
    </w:p>
    <w:p w14:paraId="4E26603A" w14:textId="77777777" w:rsidR="00B23F5D" w:rsidRPr="00B23F5D" w:rsidRDefault="00B23F5D" w:rsidP="00B23F5D">
      <w:pPr>
        <w:pStyle w:val="Corpotesto"/>
        <w:spacing w:after="0"/>
      </w:pPr>
      <w:r w:rsidRPr="00B23F5D">
        <w:t>The progressive conversion of EPS into SMP represents a key mechanism for excess sludge reduction in the ASSR configuration. By transforming structurally bound organic matter into soluble compounds, the particulate fraction of sludge is reduced and becomes more available for further anaerobic and downstream biological conversion. This limits the accumulation of residual biomass and directly contributes to the reduction of waste activated sludge production.</w:t>
      </w:r>
    </w:p>
    <w:p w14:paraId="314663A4" w14:textId="29CB19E2" w:rsidR="00B23F5D" w:rsidRPr="00B23F5D" w:rsidRDefault="00B23F5D" w:rsidP="00B23F5D">
      <w:pPr>
        <w:pStyle w:val="Corpotesto"/>
        <w:spacing w:after="0"/>
      </w:pPr>
      <w:r w:rsidRPr="00B23F5D">
        <w:t xml:space="preserve">From an operational and solids performance perspective, the depletion of EPS is expected to significantly affect sludge </w:t>
      </w:r>
      <w:r w:rsidR="00CE068C">
        <w:t>settling</w:t>
      </w:r>
      <w:r w:rsidRPr="00B23F5D">
        <w:t xml:space="preserve"> properties. </w:t>
      </w:r>
      <w:r w:rsidR="00CE068C">
        <w:t xml:space="preserve">Indeed, </w:t>
      </w:r>
      <w:r w:rsidRPr="00B23F5D">
        <w:t>EPS play a central role in inter-particle bridging, floc cohesion and mechanical stability</w:t>
      </w:r>
      <w:r w:rsidR="00CE068C">
        <w:t xml:space="preserve"> </w:t>
      </w:r>
      <w:r w:rsidR="00CE068C">
        <w:fldChar w:fldCharType="begin" w:fldLock="1"/>
      </w:r>
      <w:r w:rsidR="00DC45EF">
        <w:instrText>ADDIN CSL_CITATION {"citationItems":[{"id":"ITEM-1","itemData":{"DOI":"10.2166/wst.2021.095","ISSN":"19969732","PMID":"34312335","abstract":"The paper summarizes the development in the understanding and practical application of the activated sludge process over the last 50 years. Since its invention, the activated sludge process has been a big challenge to design engineers. Traditionally, the technology was covered by sanitary engineers. However, with the development in the understanding of activated sludge process principles, further progress was not possible without knowledge of reaction kinetics and reactor theory. The shift from BOD removal only to combined removal of organic pollution, nitrogen and phosphorus required a chemical engineering approach with outputs of activated sludge microbiology and microbial ecology. Molecular biology enabled more accurate identification of important activated sludge microorganisms. The development in activated sludge process also required more efficient activated sludge separation and thickening. The paper describes the development from secondary clarifiers to membrane separation. Increasing water stress around the globe has also changed the main wastewater paradigm from wastewater treatment and safe discharge to safe reuse.","author":[{"dropping-particle":"","family":"Wanner","given":"Jiří","non-dropping-particle":"","parse-names":false,"suffix":""}],"container-title":"Water Science and Technology","id":"ITEM-1","issue":"2","issued":{"date-parts":[["2021"]]},"page":"274-283","title":"The development in biological wastewater treatment over the last 50 years","type":"article-journal","volume":"84"},"uris":["http://www.mendeley.com/documents/?uuid=2c9dd94c-fe51-4b20-97a6-a25cd1be6cf9"]}],"mendeley":{"formattedCitation":"(Wanner, 2021)","plainTextFormattedCitation":"(Wanner, 2021)","previouslyFormattedCitation":"(Wanner, 2021)"},"properties":{"noteIndex":0},"schema":"https://github.com/citation-style-language/schema/raw/master/csl-citation.json"}</w:instrText>
      </w:r>
      <w:r w:rsidR="00CE068C">
        <w:fldChar w:fldCharType="separate"/>
      </w:r>
      <w:r w:rsidR="00CE068C" w:rsidRPr="00CE068C">
        <w:rPr>
          <w:noProof/>
        </w:rPr>
        <w:t>(Wanner, 2021)</w:t>
      </w:r>
      <w:r w:rsidR="00CE068C">
        <w:fldChar w:fldCharType="end"/>
      </w:r>
      <w:r w:rsidRPr="00B23F5D">
        <w:t>. Their progressive removal along the compartments is therefore likely to weaken the floc structure and promote the formation of smaller and more fragile aggregates. This may result in a deterioration of settleability, due to lower floc density and reduced resistance to hydrodynamic stress, with a potential increase in dispersed solids.</w:t>
      </w:r>
    </w:p>
    <w:p w14:paraId="74696ADC" w14:textId="0911F447" w:rsidR="00B23F5D" w:rsidRPr="00B23F5D" w:rsidRDefault="00B23F5D" w:rsidP="00B23F5D">
      <w:pPr>
        <w:pStyle w:val="Corpotesto"/>
        <w:spacing w:after="0"/>
      </w:pPr>
      <w:r w:rsidRPr="00B23F5D">
        <w:t>Overall, the results indicate</w:t>
      </w:r>
      <w:r w:rsidR="0054682B">
        <w:t>d</w:t>
      </w:r>
      <w:r w:rsidRPr="00B23F5D">
        <w:t xml:space="preserve"> that, in the compartmentalized anaerobic side-stream reactor with six completely mixed reactors in series, EPS hydrolysis and solubilisation</w:t>
      </w:r>
      <w:r w:rsidR="0054682B">
        <w:t xml:space="preserve"> </w:t>
      </w:r>
      <w:r w:rsidRPr="00B23F5D">
        <w:t>represent</w:t>
      </w:r>
      <w:r w:rsidR="0054682B">
        <w:t>ed</w:t>
      </w:r>
      <w:r w:rsidRPr="00B23F5D">
        <w:t xml:space="preserve"> </w:t>
      </w:r>
      <w:r w:rsidR="0054682B">
        <w:t>a key</w:t>
      </w:r>
      <w:r w:rsidRPr="00B23F5D">
        <w:t xml:space="preserve"> pathway for </w:t>
      </w:r>
      <w:r w:rsidR="0054682B" w:rsidRPr="00B23F5D">
        <w:t>excess sludge reduction</w:t>
      </w:r>
      <w:r w:rsidRPr="00B23F5D">
        <w:t>.</w:t>
      </w:r>
    </w:p>
    <w:p w14:paraId="4B36A10B" w14:textId="77777777" w:rsidR="00B23F5D" w:rsidRDefault="00B23F5D" w:rsidP="004C437A">
      <w:pPr>
        <w:pStyle w:val="Corpotesto"/>
        <w:spacing w:after="0"/>
      </w:pPr>
    </w:p>
    <w:p w14:paraId="38D57365" w14:textId="091496C7" w:rsidR="00D52FFC" w:rsidRDefault="00A83066" w:rsidP="00D52FFC">
      <w:pPr>
        <w:pStyle w:val="CETheadingx"/>
      </w:pPr>
      <w:r>
        <w:lastRenderedPageBreak/>
        <w:t>Plant performance</w:t>
      </w:r>
    </w:p>
    <w:p w14:paraId="2A5AA0B2" w14:textId="2D28EFF4" w:rsidR="00DC2774" w:rsidRDefault="00BB5AF0" w:rsidP="00DC2774">
      <w:pPr>
        <w:pStyle w:val="CETAcknowledgementstitle"/>
        <w:jc w:val="both"/>
        <w:rPr>
          <w:b w:val="0"/>
        </w:rPr>
      </w:pPr>
      <w:r>
        <w:rPr>
          <w:b w:val="0"/>
        </w:rPr>
        <w:t>The</w:t>
      </w:r>
      <w:r w:rsidRPr="00BB5AF0">
        <w:rPr>
          <w:b w:val="0"/>
        </w:rPr>
        <w:t xml:space="preserve"> effluent quality parameters were monitored</w:t>
      </w:r>
      <w:r w:rsidR="00CB2339">
        <w:rPr>
          <w:b w:val="0"/>
        </w:rPr>
        <w:t xml:space="preserve"> in order to </w:t>
      </w:r>
      <w:r w:rsidRPr="00BB5AF0">
        <w:rPr>
          <w:b w:val="0"/>
        </w:rPr>
        <w:t xml:space="preserve">assess whether sludge reduction was achieved without impairing treatment performance. The results obtained </w:t>
      </w:r>
      <w:r w:rsidR="00052C56">
        <w:rPr>
          <w:b w:val="0"/>
        </w:rPr>
        <w:t>u</w:t>
      </w:r>
      <w:r w:rsidR="00052C56" w:rsidRPr="00BB5AF0">
        <w:rPr>
          <w:b w:val="0"/>
        </w:rPr>
        <w:t>nder CAS operation (</w:t>
      </w:r>
      <w:r w:rsidR="00052C56">
        <w:rPr>
          <w:b w:val="0"/>
        </w:rPr>
        <w:t>baseline condition</w:t>
      </w:r>
      <w:r w:rsidR="00052C56" w:rsidRPr="00BB5AF0">
        <w:rPr>
          <w:b w:val="0"/>
        </w:rPr>
        <w:t xml:space="preserve">), </w:t>
      </w:r>
      <w:r w:rsidR="00052C56">
        <w:rPr>
          <w:b w:val="0"/>
        </w:rPr>
        <w:t xml:space="preserve">revealed overall </w:t>
      </w:r>
      <w:r w:rsidR="00052C56" w:rsidRPr="00BB5AF0">
        <w:rPr>
          <w:b w:val="0"/>
        </w:rPr>
        <w:t xml:space="preserve">high treatment efficiency, with COD removal of approximately 97% and effluent COD concentrations below 10 mg/L. Total suspended solids in the effluent </w:t>
      </w:r>
      <w:r w:rsidR="00052C56">
        <w:rPr>
          <w:b w:val="0"/>
        </w:rPr>
        <w:t>was on average</w:t>
      </w:r>
      <w:r w:rsidR="00052C56" w:rsidRPr="00BB5AF0">
        <w:rPr>
          <w:b w:val="0"/>
        </w:rPr>
        <w:t xml:space="preserve"> 16 mg/L, despite the relatively high SVI already observed </w:t>
      </w:r>
      <w:r w:rsidR="00052C56">
        <w:rPr>
          <w:b w:val="0"/>
        </w:rPr>
        <w:t>(18</w:t>
      </w:r>
      <w:r w:rsidR="001A2CFC">
        <w:rPr>
          <w:b w:val="0"/>
        </w:rPr>
        <w:t>3 mL/gTSS)</w:t>
      </w:r>
      <w:r w:rsidR="00052C56" w:rsidRPr="00BB5AF0">
        <w:rPr>
          <w:b w:val="0"/>
        </w:rPr>
        <w:t>.</w:t>
      </w:r>
      <w:r w:rsidR="00052C56">
        <w:rPr>
          <w:b w:val="0"/>
        </w:rPr>
        <w:t xml:space="preserve"> </w:t>
      </w:r>
      <w:r w:rsidR="001A2CFC">
        <w:rPr>
          <w:b w:val="0"/>
        </w:rPr>
        <w:t xml:space="preserve">When the ASSR was implemented, </w:t>
      </w:r>
      <w:r w:rsidR="00014460">
        <w:rPr>
          <w:b w:val="0"/>
        </w:rPr>
        <w:t>in both</w:t>
      </w:r>
      <w:r w:rsidRPr="00BB5AF0">
        <w:rPr>
          <w:b w:val="0"/>
        </w:rPr>
        <w:t xml:space="preserve"> the 1-C and 6-C configurations the overall effluent quality was not substantially compromised</w:t>
      </w:r>
      <w:r w:rsidR="00014460" w:rsidRPr="00014460">
        <w:rPr>
          <w:b w:val="0"/>
        </w:rPr>
        <w:t xml:space="preserve"> </w:t>
      </w:r>
      <w:r w:rsidR="00014460" w:rsidRPr="00BB5AF0">
        <w:rPr>
          <w:b w:val="0"/>
        </w:rPr>
        <w:t>despite changes in sludge properties</w:t>
      </w:r>
      <w:r w:rsidRPr="00BB5AF0">
        <w:rPr>
          <w:b w:val="0"/>
        </w:rPr>
        <w:t>.</w:t>
      </w:r>
      <w:r>
        <w:rPr>
          <w:b w:val="0"/>
        </w:rPr>
        <w:t xml:space="preserve"> </w:t>
      </w:r>
      <w:r w:rsidR="00CB2339">
        <w:rPr>
          <w:b w:val="0"/>
        </w:rPr>
        <w:t xml:space="preserve">Indeed, </w:t>
      </w:r>
      <w:r w:rsidR="00522FD0">
        <w:rPr>
          <w:b w:val="0"/>
        </w:rPr>
        <w:t xml:space="preserve">under the 1-C configuration, the effluent COD </w:t>
      </w:r>
      <w:r w:rsidR="00B21702">
        <w:rPr>
          <w:b w:val="0"/>
        </w:rPr>
        <w:t>was lower than 15 mg/L at both the investigated AETs</w:t>
      </w:r>
      <w:r w:rsidR="00BA734A">
        <w:rPr>
          <w:b w:val="0"/>
        </w:rPr>
        <w:t xml:space="preserve">. </w:t>
      </w:r>
      <w:r w:rsidR="007B037F">
        <w:rPr>
          <w:b w:val="0"/>
        </w:rPr>
        <w:t>A</w:t>
      </w:r>
      <w:r w:rsidR="00BA734A">
        <w:rPr>
          <w:b w:val="0"/>
        </w:rPr>
        <w:t xml:space="preserve">ny significant increase in </w:t>
      </w:r>
      <w:r w:rsidR="00845876">
        <w:rPr>
          <w:b w:val="0"/>
        </w:rPr>
        <w:t>TSS</w:t>
      </w:r>
      <w:r w:rsidR="00BA734A">
        <w:rPr>
          <w:b w:val="0"/>
        </w:rPr>
        <w:t xml:space="preserve"> concentration</w:t>
      </w:r>
      <w:r w:rsidR="00845876">
        <w:rPr>
          <w:b w:val="0"/>
        </w:rPr>
        <w:t xml:space="preserve"> was observed respect to CAS operation</w:t>
      </w:r>
      <w:r w:rsidR="007B037F">
        <w:rPr>
          <w:b w:val="0"/>
        </w:rPr>
        <w:t xml:space="preserve">, resulting equal to </w:t>
      </w:r>
      <w:r w:rsidR="00845876">
        <w:rPr>
          <w:b w:val="0"/>
        </w:rPr>
        <w:t xml:space="preserve">26 mg/L </w:t>
      </w:r>
      <w:r w:rsidR="007B037F">
        <w:rPr>
          <w:b w:val="0"/>
        </w:rPr>
        <w:t xml:space="preserve">and 28 mg/L </w:t>
      </w:r>
      <w:r w:rsidR="00845876">
        <w:rPr>
          <w:b w:val="0"/>
        </w:rPr>
        <w:t>at A</w:t>
      </w:r>
      <w:r w:rsidR="007B037F">
        <w:rPr>
          <w:b w:val="0"/>
        </w:rPr>
        <w:t xml:space="preserve">ET of 8 h/d and 10 h/d, respectively. </w:t>
      </w:r>
      <w:r w:rsidR="00164C34">
        <w:rPr>
          <w:b w:val="0"/>
        </w:rPr>
        <w:t>Similarly, the settleability of the sludge was unchanged (SVI = 1</w:t>
      </w:r>
      <w:r w:rsidR="0030607D">
        <w:rPr>
          <w:b w:val="0"/>
        </w:rPr>
        <w:t xml:space="preserve">68 mL/gTSS). </w:t>
      </w:r>
      <w:r w:rsidRPr="00BB5AF0">
        <w:rPr>
          <w:b w:val="0"/>
        </w:rPr>
        <w:t>When the most compartmentalized ASSR configuration (6-C) was implemented, a moderate deterioration in effluent quality was observed, consistent with EPS destructur</w:t>
      </w:r>
      <w:r w:rsidR="0030607D">
        <w:rPr>
          <w:b w:val="0"/>
        </w:rPr>
        <w:t>ation</w:t>
      </w:r>
      <w:r w:rsidRPr="00BB5AF0">
        <w:rPr>
          <w:b w:val="0"/>
        </w:rPr>
        <w:t xml:space="preserve"> and the associated worsening of sludge settleability. At the highest aeration exposure time (AET = 10 h/d), effluent COD concentrations increased to about 45 mg/L, corresponding to a removal efficiency still exceeding 93%. Similarly, effluent TSS concentrations increased, reaching average values of approximately 41 mg/L, in line with the higher SVI measured in this configuration.</w:t>
      </w:r>
      <w:r>
        <w:rPr>
          <w:b w:val="0"/>
        </w:rPr>
        <w:t xml:space="preserve"> </w:t>
      </w:r>
      <w:r w:rsidRPr="00BB5AF0">
        <w:rPr>
          <w:b w:val="0"/>
        </w:rPr>
        <w:t>Nevertheless, even under the most severe operating conditions (6-C), COD removal efficiencies remained above 93%, and effluent TSS concentrations were within ranges commonly considered acceptable for secondary treatment. These results demonstrate that sludge reduction and process intensification were not associated with a substantial loss of depurative performance.</w:t>
      </w:r>
      <w:r>
        <w:rPr>
          <w:b w:val="0"/>
        </w:rPr>
        <w:t xml:space="preserve"> </w:t>
      </w:r>
    </w:p>
    <w:p w14:paraId="68D26B83" w14:textId="53A98B87" w:rsidR="00600535" w:rsidRPr="00B57B36" w:rsidRDefault="00600535" w:rsidP="00DC2774">
      <w:pPr>
        <w:pStyle w:val="CETAcknowledgementstitle"/>
        <w:jc w:val="both"/>
      </w:pPr>
      <w:r w:rsidRPr="00B57B36">
        <w:t>Conclusions</w:t>
      </w:r>
    </w:p>
    <w:p w14:paraId="6F443C18" w14:textId="2145BADD" w:rsidR="00DC45EF" w:rsidRDefault="004E3A5D" w:rsidP="004E3A5D">
      <w:pPr>
        <w:pStyle w:val="CETAcknowledgementstitle"/>
        <w:jc w:val="both"/>
        <w:rPr>
          <w:b w:val="0"/>
        </w:rPr>
      </w:pPr>
      <w:r>
        <w:rPr>
          <w:b w:val="0"/>
        </w:rPr>
        <w:t>R</w:t>
      </w:r>
      <w:r w:rsidR="00DC45EF" w:rsidRPr="00DC45EF">
        <w:rPr>
          <w:b w:val="0"/>
        </w:rPr>
        <w:t xml:space="preserve">esults </w:t>
      </w:r>
      <w:r>
        <w:rPr>
          <w:b w:val="0"/>
        </w:rPr>
        <w:t xml:space="preserve">reported in this study </w:t>
      </w:r>
      <w:r w:rsidR="00DC45EF" w:rsidRPr="00DC45EF">
        <w:rPr>
          <w:b w:val="0"/>
        </w:rPr>
        <w:t>indicate</w:t>
      </w:r>
      <w:r>
        <w:rPr>
          <w:b w:val="0"/>
        </w:rPr>
        <w:t>d</w:t>
      </w:r>
      <w:r w:rsidR="00DC45EF" w:rsidRPr="00DC45EF">
        <w:rPr>
          <w:b w:val="0"/>
        </w:rPr>
        <w:t xml:space="preserve"> that anaerobic reactor hydrodynamics play a crucial role in excess sludge minimization in ASSR-based processes. </w:t>
      </w:r>
      <w:r w:rsidR="00BC34DF">
        <w:rPr>
          <w:b w:val="0"/>
        </w:rPr>
        <w:t>Highly compartmentalized</w:t>
      </w:r>
      <w:r w:rsidR="00DC45EF" w:rsidRPr="00DC45EF">
        <w:rPr>
          <w:b w:val="0"/>
        </w:rPr>
        <w:t xml:space="preserve"> anaerobic reactors enhance</w:t>
      </w:r>
      <w:r>
        <w:rPr>
          <w:b w:val="0"/>
        </w:rPr>
        <w:t>d</w:t>
      </w:r>
      <w:r w:rsidR="00DC45EF" w:rsidRPr="00DC45EF">
        <w:rPr>
          <w:b w:val="0"/>
        </w:rPr>
        <w:t xml:space="preserve"> metabolic stress on the biomass, leading to higher sludge reduction yields, even at identical anaerobic exposure times. These findings highlight </w:t>
      </w:r>
      <w:r>
        <w:rPr>
          <w:b w:val="0"/>
        </w:rPr>
        <w:t xml:space="preserve">that </w:t>
      </w:r>
      <w:r w:rsidR="0062000B">
        <w:rPr>
          <w:b w:val="0"/>
        </w:rPr>
        <w:t>the compartmentalisation of the ASSR</w:t>
      </w:r>
      <w:r w:rsidR="00DC45EF" w:rsidRPr="00DC45EF">
        <w:rPr>
          <w:b w:val="0"/>
        </w:rPr>
        <w:t xml:space="preserve"> </w:t>
      </w:r>
      <w:r w:rsidR="0062000B">
        <w:rPr>
          <w:b w:val="0"/>
        </w:rPr>
        <w:t>is</w:t>
      </w:r>
      <w:r w:rsidR="00DC45EF" w:rsidRPr="00DC45EF">
        <w:rPr>
          <w:b w:val="0"/>
        </w:rPr>
        <w:t xml:space="preserve"> a promising design option for optimizing ASSR systems aimed at reducing excess sludge production.</w:t>
      </w:r>
    </w:p>
    <w:p w14:paraId="4F1327F8" w14:textId="77777777" w:rsidR="00600535" w:rsidRPr="00B57B36" w:rsidRDefault="00600535" w:rsidP="00600535">
      <w:pPr>
        <w:pStyle w:val="CETReference"/>
      </w:pPr>
      <w:r w:rsidRPr="00B57B36">
        <w:t>References</w:t>
      </w:r>
    </w:p>
    <w:p w14:paraId="76A52F4B" w14:textId="59EB628E" w:rsidR="00350548" w:rsidRDefault="00350548" w:rsidP="00350548">
      <w:pPr>
        <w:pStyle w:val="CETReferencetext"/>
      </w:pPr>
      <w:r>
        <w:t>APHA, 2005, Standard Methods for the Examination of Water &amp; Wastewater, 11th ed, American Public Health Association. https://doi.org/10.2105/SMWW.2882.002</w:t>
      </w:r>
    </w:p>
    <w:p w14:paraId="3A145AA4" w14:textId="02890D45" w:rsidR="00350548" w:rsidRDefault="00350548" w:rsidP="00350548">
      <w:pPr>
        <w:pStyle w:val="CETReferencetext"/>
      </w:pPr>
      <w:r w:rsidRPr="00350548">
        <w:t xml:space="preserve">Collivignarelli, M.C., Abbà, A., Benigna, I., Sorlini, S., Torretta, V., 2018, </w:t>
      </w:r>
      <w:r>
        <w:t>Overview of the main disinfection processes for wastewater and drinking water treatment plants. Sustain</w:t>
      </w:r>
      <w:r w:rsidR="000B362A">
        <w:t>ability</w:t>
      </w:r>
      <w:r>
        <w:t xml:space="preserve"> 10, 1–21. https://doi.org/10.3390/su10010086</w:t>
      </w:r>
    </w:p>
    <w:p w14:paraId="39E60BF0" w14:textId="5D6D1605" w:rsidR="00350548" w:rsidRPr="00707BC1" w:rsidRDefault="00350548" w:rsidP="00350548">
      <w:pPr>
        <w:pStyle w:val="CETReferencetext"/>
      </w:pPr>
      <w:r>
        <w:t xml:space="preserve">Coma, M., Rovira, S., Canals, J., Colprim, J., 2013, Minimization of sludge production by a side-stream reactor under anoxic conditions in a pilot plant. </w:t>
      </w:r>
      <w:r w:rsidRPr="00707BC1">
        <w:t>Bioresour</w:t>
      </w:r>
      <w:r w:rsidR="000B362A">
        <w:t>ce</w:t>
      </w:r>
      <w:r w:rsidRPr="00707BC1">
        <w:t xml:space="preserve"> Technol</w:t>
      </w:r>
      <w:r w:rsidR="000B362A">
        <w:t>ogy</w:t>
      </w:r>
      <w:r w:rsidRPr="00707BC1">
        <w:t xml:space="preserve"> 129, 229–235. https://doi.org/10.1016/j.biortech.2012.11.055</w:t>
      </w:r>
    </w:p>
    <w:p w14:paraId="4964BF2B" w14:textId="6E3089CD" w:rsidR="00350548" w:rsidRPr="00707BC1" w:rsidRDefault="00350548" w:rsidP="00350548">
      <w:pPr>
        <w:pStyle w:val="CETReferencetext"/>
      </w:pPr>
      <w:r w:rsidRPr="00350548">
        <w:t xml:space="preserve">Corsino, S.F., de Oliveira, T.S., Di Trapani, D., Torregrossa, M., Viviani, G., 2020, </w:t>
      </w:r>
      <w:r>
        <w:t>Simultaneous sludge minimization, biological phosphorous removal and membrane fouling mitigation in a novel plant layout for MBR. J</w:t>
      </w:r>
      <w:r w:rsidR="000B362A">
        <w:t>ournal of</w:t>
      </w:r>
      <w:r>
        <w:t xml:space="preserve"> Environ</w:t>
      </w:r>
      <w:r w:rsidR="00566002">
        <w:t>mental</w:t>
      </w:r>
      <w:r>
        <w:t xml:space="preserve"> </w:t>
      </w:r>
      <w:r w:rsidRPr="00707BC1">
        <w:t>Manage</w:t>
      </w:r>
      <w:r w:rsidR="00566002">
        <w:t>ment</w:t>
      </w:r>
      <w:r w:rsidRPr="00707BC1">
        <w:t xml:space="preserve"> 259, 10986. https://doi.org/10.1016/j.jenvman.2019.109826</w:t>
      </w:r>
    </w:p>
    <w:p w14:paraId="3906AB50" w14:textId="4BCA8E34" w:rsidR="00350548" w:rsidRDefault="00350548" w:rsidP="00350548">
      <w:pPr>
        <w:pStyle w:val="CETReferencetext"/>
      </w:pPr>
      <w:r w:rsidRPr="00350548">
        <w:t xml:space="preserve">Ferrentino, R., Langone, M., Andreottola, G., 2021, </w:t>
      </w:r>
      <w:r>
        <w:t>Sludge reduction by an anaerobic side-stream reactor process: A full-scale application. Environ</w:t>
      </w:r>
      <w:r w:rsidR="00566002">
        <w:t>mental</w:t>
      </w:r>
      <w:r>
        <w:t xml:space="preserve"> Challenges 2, 100016. https://doi.org/10.1016/j.envc.2020.100016</w:t>
      </w:r>
    </w:p>
    <w:p w14:paraId="4FE6FBF8" w14:textId="2AA4E134" w:rsidR="00350548" w:rsidRPr="00707BC1" w:rsidRDefault="00350548" w:rsidP="00350548">
      <w:pPr>
        <w:pStyle w:val="CETReferencetext"/>
      </w:pPr>
      <w:r>
        <w:t xml:space="preserve">Le-Clech, P., Chen, V., Fane, T.A.G., 2006, Fouling in membrane bioreactors used in wastewater treatment. </w:t>
      </w:r>
      <w:r w:rsidRPr="00707BC1">
        <w:t>J. Memb</w:t>
      </w:r>
      <w:r w:rsidR="00566002">
        <w:t>rance</w:t>
      </w:r>
      <w:r w:rsidRPr="00707BC1">
        <w:t xml:space="preserve"> Sci</w:t>
      </w:r>
      <w:r w:rsidR="00566002">
        <w:t>nce</w:t>
      </w:r>
      <w:r w:rsidRPr="00707BC1">
        <w:t xml:space="preserve"> 284, 17–53. https://doi.org/10.1016/j.memsci.2006.08.019</w:t>
      </w:r>
    </w:p>
    <w:p w14:paraId="6B5D461D" w14:textId="53640EE4" w:rsidR="00350548" w:rsidRPr="00707BC1" w:rsidRDefault="00350548" w:rsidP="00350548">
      <w:pPr>
        <w:pStyle w:val="CETReferencetext"/>
      </w:pPr>
      <w:r w:rsidRPr="00350548">
        <w:t xml:space="preserve">Morello, R., Di Capua, F., Esposito, G., Pirozzi, F., Fratino, U., Spasiano, D., 2022, </w:t>
      </w:r>
      <w:r>
        <w:t xml:space="preserve">Sludge minimization in mainstream wastewater treatment: Mechanisms, strategies, technologies, and current development. </w:t>
      </w:r>
      <w:r w:rsidRPr="00707BC1">
        <w:t>J</w:t>
      </w:r>
      <w:r w:rsidR="00566002">
        <w:t>ournal</w:t>
      </w:r>
      <w:r w:rsidRPr="00707BC1">
        <w:t xml:space="preserve"> Environ</w:t>
      </w:r>
      <w:r w:rsidR="00566002">
        <w:t>mental</w:t>
      </w:r>
      <w:r w:rsidRPr="00707BC1">
        <w:t xml:space="preserve"> Manage</w:t>
      </w:r>
      <w:r w:rsidR="00566002">
        <w:t>ment</w:t>
      </w:r>
      <w:r w:rsidRPr="00707BC1">
        <w:t xml:space="preserve"> 319, 115756. https://doi.org/10.1016/j.jenvman.2022.115756</w:t>
      </w:r>
    </w:p>
    <w:p w14:paraId="7457AB63" w14:textId="4FBB7E5E" w:rsidR="00350548" w:rsidRDefault="00350548" w:rsidP="00350548">
      <w:pPr>
        <w:pStyle w:val="CETReferencetext"/>
      </w:pPr>
      <w:r w:rsidRPr="00350548">
        <w:t xml:space="preserve">Mulone, S., Corsino, S.F., Capodici, M., Torregrossa, M., 2024, </w:t>
      </w:r>
      <w:r>
        <w:t>The anaerobic exposure time (AET) as a novel process parameter in the anaerobic side-stream reactor (ASSR)-based process for excess sludge minimization. Water Res</w:t>
      </w:r>
      <w:r w:rsidR="00566002">
        <w:t>earch</w:t>
      </w:r>
      <w:r>
        <w:t xml:space="preserve"> 254, 121380. https://doi.org/10.1016/j.watres.2024.121380</w:t>
      </w:r>
    </w:p>
    <w:p w14:paraId="6256E1AF" w14:textId="667E1831" w:rsidR="00350548" w:rsidRDefault="00350548" w:rsidP="00350548">
      <w:pPr>
        <w:pStyle w:val="CETReferencetext"/>
      </w:pPr>
      <w:r>
        <w:t>Wanner, J., 2021, The development in biological wastewater treatment over the last 50 years. Water Sci</w:t>
      </w:r>
      <w:r w:rsidR="00566002">
        <w:t>e</w:t>
      </w:r>
      <w:r w:rsidR="00FC005D">
        <w:t>n</w:t>
      </w:r>
      <w:r w:rsidR="00566002">
        <w:t xml:space="preserve">ce and </w:t>
      </w:r>
      <w:r>
        <w:t>Technol</w:t>
      </w:r>
      <w:r w:rsidR="00FC005D">
        <w:t>ogy</w:t>
      </w:r>
      <w:r>
        <w:t xml:space="preserve"> 84, 274–283. https://doi.org/10.2166/wst.2021.095</w:t>
      </w:r>
    </w:p>
    <w:p w14:paraId="19C4FC68" w14:textId="77777777" w:rsidR="004628D2" w:rsidRDefault="004628D2" w:rsidP="00FA5F5F">
      <w:pPr>
        <w:pStyle w:val="CETHeading1"/>
        <w:numPr>
          <w:ilvl w:val="0"/>
          <w:numId w:val="0"/>
        </w:numPr>
      </w:pPr>
    </w:p>
    <w:sectPr w:rsidR="004628D2"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85E87" w14:textId="77777777" w:rsidR="00125F04" w:rsidRDefault="00125F04" w:rsidP="004F5E36">
      <w:r>
        <w:separator/>
      </w:r>
    </w:p>
  </w:endnote>
  <w:endnote w:type="continuationSeparator" w:id="0">
    <w:p w14:paraId="1074AF0A" w14:textId="77777777" w:rsidR="00125F04" w:rsidRDefault="00125F0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D2662" w14:textId="77777777" w:rsidR="00125F04" w:rsidRDefault="00125F04" w:rsidP="004F5E36">
      <w:r>
        <w:separator/>
      </w:r>
    </w:p>
  </w:footnote>
  <w:footnote w:type="continuationSeparator" w:id="0">
    <w:p w14:paraId="22C1BD69" w14:textId="77777777" w:rsidR="00125F04" w:rsidRDefault="00125F0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1"/>
      <w:numFmt w:val="decimal"/>
      <w:lvlText w:val="%1."/>
      <w:lvlJc w:val="left"/>
      <w:pPr>
        <w:tabs>
          <w:tab w:val="num" w:pos="260"/>
        </w:tabs>
      </w:pPr>
      <w:rPr>
        <w:rFonts w:ascii="Times New Roman" w:hAnsi="Times New Roman" w:cs="Times New Roman"/>
        <w:b/>
        <w:sz w:val="22"/>
        <w:szCs w:val="22"/>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1634213000">
    <w:abstractNumId w:val="10"/>
    <w:lvlOverride w:ilvl="0">
      <w:startOverride w:val="2"/>
      <w:lvl w:ilvl="0">
        <w:start w:val="2"/>
        <w:numFmt w:val="decimal"/>
        <w:lvlText w:val="%1."/>
        <w:lvlJc w:val="left"/>
        <w:rPr>
          <w:rFonts w:cs="Times New Roman"/>
        </w:rPr>
      </w:lvl>
    </w:lvlOverride>
  </w:num>
  <w:num w:numId="24" w16cid:durableId="1854875706">
    <w:abstractNumId w:val="11"/>
  </w:num>
  <w:num w:numId="25" w16cid:durableId="11333334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6DB"/>
    <w:rsid w:val="000117CB"/>
    <w:rsid w:val="00014460"/>
    <w:rsid w:val="0003148D"/>
    <w:rsid w:val="00031EEC"/>
    <w:rsid w:val="0005017D"/>
    <w:rsid w:val="00051566"/>
    <w:rsid w:val="00052C56"/>
    <w:rsid w:val="000562A9"/>
    <w:rsid w:val="00062A9A"/>
    <w:rsid w:val="00065058"/>
    <w:rsid w:val="00083AE0"/>
    <w:rsid w:val="00086C39"/>
    <w:rsid w:val="000956A8"/>
    <w:rsid w:val="000A034C"/>
    <w:rsid w:val="000A03B2"/>
    <w:rsid w:val="000B362A"/>
    <w:rsid w:val="000D0268"/>
    <w:rsid w:val="000D34BE"/>
    <w:rsid w:val="000D6EB8"/>
    <w:rsid w:val="000E102F"/>
    <w:rsid w:val="000E36F1"/>
    <w:rsid w:val="000E3A73"/>
    <w:rsid w:val="000E414A"/>
    <w:rsid w:val="000E75FD"/>
    <w:rsid w:val="000F093C"/>
    <w:rsid w:val="000F787B"/>
    <w:rsid w:val="00104E03"/>
    <w:rsid w:val="0012091F"/>
    <w:rsid w:val="00124AAD"/>
    <w:rsid w:val="00125F04"/>
    <w:rsid w:val="00126BC2"/>
    <w:rsid w:val="001308B6"/>
    <w:rsid w:val="0013121F"/>
    <w:rsid w:val="00131FE6"/>
    <w:rsid w:val="0013263F"/>
    <w:rsid w:val="001331DF"/>
    <w:rsid w:val="00134DE4"/>
    <w:rsid w:val="0014034D"/>
    <w:rsid w:val="00140FE3"/>
    <w:rsid w:val="001416B2"/>
    <w:rsid w:val="00144D16"/>
    <w:rsid w:val="00150E59"/>
    <w:rsid w:val="00152DE3"/>
    <w:rsid w:val="00156688"/>
    <w:rsid w:val="001576B7"/>
    <w:rsid w:val="00164C34"/>
    <w:rsid w:val="00164CF9"/>
    <w:rsid w:val="0016647E"/>
    <w:rsid w:val="001667A6"/>
    <w:rsid w:val="00172CA3"/>
    <w:rsid w:val="0017404B"/>
    <w:rsid w:val="001742CB"/>
    <w:rsid w:val="00184AD6"/>
    <w:rsid w:val="00186688"/>
    <w:rsid w:val="001955AD"/>
    <w:rsid w:val="001A2CFC"/>
    <w:rsid w:val="001A4AF7"/>
    <w:rsid w:val="001B0349"/>
    <w:rsid w:val="001B1E93"/>
    <w:rsid w:val="001B2F7A"/>
    <w:rsid w:val="001B3667"/>
    <w:rsid w:val="001B65C1"/>
    <w:rsid w:val="001C260F"/>
    <w:rsid w:val="001C33F1"/>
    <w:rsid w:val="001C684B"/>
    <w:rsid w:val="001D0CFB"/>
    <w:rsid w:val="001D21AF"/>
    <w:rsid w:val="001D53FC"/>
    <w:rsid w:val="001F42A5"/>
    <w:rsid w:val="001F7B9D"/>
    <w:rsid w:val="00201C93"/>
    <w:rsid w:val="00214A55"/>
    <w:rsid w:val="002224B4"/>
    <w:rsid w:val="0022497E"/>
    <w:rsid w:val="002447EF"/>
    <w:rsid w:val="00251550"/>
    <w:rsid w:val="00252613"/>
    <w:rsid w:val="00263B05"/>
    <w:rsid w:val="002643A0"/>
    <w:rsid w:val="00271B06"/>
    <w:rsid w:val="0027221A"/>
    <w:rsid w:val="00275B61"/>
    <w:rsid w:val="00280FAF"/>
    <w:rsid w:val="00282656"/>
    <w:rsid w:val="002851A3"/>
    <w:rsid w:val="00296B83"/>
    <w:rsid w:val="002A28CC"/>
    <w:rsid w:val="002B1267"/>
    <w:rsid w:val="002B4015"/>
    <w:rsid w:val="002B78CE"/>
    <w:rsid w:val="002C2FB6"/>
    <w:rsid w:val="002C6AE5"/>
    <w:rsid w:val="002E5FA7"/>
    <w:rsid w:val="002F3309"/>
    <w:rsid w:val="003008CE"/>
    <w:rsid w:val="003009B7"/>
    <w:rsid w:val="00300E56"/>
    <w:rsid w:val="0030152C"/>
    <w:rsid w:val="0030469C"/>
    <w:rsid w:val="0030607D"/>
    <w:rsid w:val="00321AB5"/>
    <w:rsid w:val="00321CA6"/>
    <w:rsid w:val="00323763"/>
    <w:rsid w:val="00323C5F"/>
    <w:rsid w:val="0033233C"/>
    <w:rsid w:val="00334C09"/>
    <w:rsid w:val="00350548"/>
    <w:rsid w:val="00370049"/>
    <w:rsid w:val="003723D4"/>
    <w:rsid w:val="00381346"/>
    <w:rsid w:val="00381905"/>
    <w:rsid w:val="00384CC8"/>
    <w:rsid w:val="003871FD"/>
    <w:rsid w:val="003A187B"/>
    <w:rsid w:val="003A1E30"/>
    <w:rsid w:val="003A2829"/>
    <w:rsid w:val="003A7D1C"/>
    <w:rsid w:val="003B0A86"/>
    <w:rsid w:val="003B304B"/>
    <w:rsid w:val="003B3146"/>
    <w:rsid w:val="003D1E02"/>
    <w:rsid w:val="003E7FB9"/>
    <w:rsid w:val="003F015E"/>
    <w:rsid w:val="003F6AE8"/>
    <w:rsid w:val="00400414"/>
    <w:rsid w:val="0041446B"/>
    <w:rsid w:val="0042598E"/>
    <w:rsid w:val="0044071E"/>
    <w:rsid w:val="0044329C"/>
    <w:rsid w:val="00444B12"/>
    <w:rsid w:val="00453E24"/>
    <w:rsid w:val="00457456"/>
    <w:rsid w:val="004577FE"/>
    <w:rsid w:val="00457B9C"/>
    <w:rsid w:val="0046164A"/>
    <w:rsid w:val="004628D2"/>
    <w:rsid w:val="00462C73"/>
    <w:rsid w:val="00462DCD"/>
    <w:rsid w:val="004648AD"/>
    <w:rsid w:val="004703A9"/>
    <w:rsid w:val="004760DE"/>
    <w:rsid w:val="004763D7"/>
    <w:rsid w:val="00493619"/>
    <w:rsid w:val="00497A83"/>
    <w:rsid w:val="004A004E"/>
    <w:rsid w:val="004A24CF"/>
    <w:rsid w:val="004A5E57"/>
    <w:rsid w:val="004B0286"/>
    <w:rsid w:val="004C194F"/>
    <w:rsid w:val="004C2B5B"/>
    <w:rsid w:val="004C3D1D"/>
    <w:rsid w:val="004C3D84"/>
    <w:rsid w:val="004C437A"/>
    <w:rsid w:val="004C7913"/>
    <w:rsid w:val="004E3A5D"/>
    <w:rsid w:val="004E4DD6"/>
    <w:rsid w:val="004F2F54"/>
    <w:rsid w:val="004F5E36"/>
    <w:rsid w:val="00507B47"/>
    <w:rsid w:val="00507BEF"/>
    <w:rsid w:val="00507CC9"/>
    <w:rsid w:val="005119A5"/>
    <w:rsid w:val="0052203A"/>
    <w:rsid w:val="00522FD0"/>
    <w:rsid w:val="005278B7"/>
    <w:rsid w:val="00532016"/>
    <w:rsid w:val="005346C8"/>
    <w:rsid w:val="00543E7D"/>
    <w:rsid w:val="0054682B"/>
    <w:rsid w:val="00547A68"/>
    <w:rsid w:val="005531C9"/>
    <w:rsid w:val="005540BC"/>
    <w:rsid w:val="00566002"/>
    <w:rsid w:val="00570C43"/>
    <w:rsid w:val="00592274"/>
    <w:rsid w:val="00597ECA"/>
    <w:rsid w:val="005A4916"/>
    <w:rsid w:val="005B2110"/>
    <w:rsid w:val="005B5AFD"/>
    <w:rsid w:val="005B61E6"/>
    <w:rsid w:val="005B7CE5"/>
    <w:rsid w:val="005C77E1"/>
    <w:rsid w:val="005D668A"/>
    <w:rsid w:val="005D6A2F"/>
    <w:rsid w:val="005E0592"/>
    <w:rsid w:val="005E1A82"/>
    <w:rsid w:val="005E51EE"/>
    <w:rsid w:val="005E794C"/>
    <w:rsid w:val="005F0A28"/>
    <w:rsid w:val="005F0E5E"/>
    <w:rsid w:val="00600535"/>
    <w:rsid w:val="00610CD6"/>
    <w:rsid w:val="006139FA"/>
    <w:rsid w:val="0062000B"/>
    <w:rsid w:val="00620DEE"/>
    <w:rsid w:val="00621F92"/>
    <w:rsid w:val="0062280A"/>
    <w:rsid w:val="006231E1"/>
    <w:rsid w:val="0062451B"/>
    <w:rsid w:val="00625019"/>
    <w:rsid w:val="00625639"/>
    <w:rsid w:val="00631B33"/>
    <w:rsid w:val="0064184D"/>
    <w:rsid w:val="006422CC"/>
    <w:rsid w:val="00651D18"/>
    <w:rsid w:val="00660E3E"/>
    <w:rsid w:val="00662E74"/>
    <w:rsid w:val="00663737"/>
    <w:rsid w:val="00680C23"/>
    <w:rsid w:val="00683E23"/>
    <w:rsid w:val="00693766"/>
    <w:rsid w:val="006A3281"/>
    <w:rsid w:val="006A6FDA"/>
    <w:rsid w:val="006B413C"/>
    <w:rsid w:val="006B4888"/>
    <w:rsid w:val="006C2E45"/>
    <w:rsid w:val="006C359C"/>
    <w:rsid w:val="006C5579"/>
    <w:rsid w:val="006C79D2"/>
    <w:rsid w:val="006D051B"/>
    <w:rsid w:val="006D386B"/>
    <w:rsid w:val="006D6E8B"/>
    <w:rsid w:val="006D7209"/>
    <w:rsid w:val="006E1841"/>
    <w:rsid w:val="006E737D"/>
    <w:rsid w:val="006F4774"/>
    <w:rsid w:val="00707BC1"/>
    <w:rsid w:val="00707DD1"/>
    <w:rsid w:val="007123C7"/>
    <w:rsid w:val="00713973"/>
    <w:rsid w:val="00720A24"/>
    <w:rsid w:val="00732386"/>
    <w:rsid w:val="0073514D"/>
    <w:rsid w:val="007447F3"/>
    <w:rsid w:val="00746327"/>
    <w:rsid w:val="0075499F"/>
    <w:rsid w:val="007617CC"/>
    <w:rsid w:val="007661C8"/>
    <w:rsid w:val="0077098D"/>
    <w:rsid w:val="00785BF9"/>
    <w:rsid w:val="007931FA"/>
    <w:rsid w:val="007A4861"/>
    <w:rsid w:val="007A7BBA"/>
    <w:rsid w:val="007B037F"/>
    <w:rsid w:val="007B0C50"/>
    <w:rsid w:val="007B48F9"/>
    <w:rsid w:val="007C1A43"/>
    <w:rsid w:val="007C72C6"/>
    <w:rsid w:val="007D072D"/>
    <w:rsid w:val="007D0951"/>
    <w:rsid w:val="007D203C"/>
    <w:rsid w:val="007F27C8"/>
    <w:rsid w:val="007F6C3A"/>
    <w:rsid w:val="0080013E"/>
    <w:rsid w:val="008065AF"/>
    <w:rsid w:val="00813288"/>
    <w:rsid w:val="008168FC"/>
    <w:rsid w:val="00824A5D"/>
    <w:rsid w:val="00824AB3"/>
    <w:rsid w:val="0082734D"/>
    <w:rsid w:val="00830996"/>
    <w:rsid w:val="008314D7"/>
    <w:rsid w:val="0083203B"/>
    <w:rsid w:val="008345F1"/>
    <w:rsid w:val="00845876"/>
    <w:rsid w:val="00865B07"/>
    <w:rsid w:val="008667EA"/>
    <w:rsid w:val="00874D25"/>
    <w:rsid w:val="008758E1"/>
    <w:rsid w:val="0087637F"/>
    <w:rsid w:val="00891010"/>
    <w:rsid w:val="00892AD5"/>
    <w:rsid w:val="00894661"/>
    <w:rsid w:val="008A1512"/>
    <w:rsid w:val="008D23FB"/>
    <w:rsid w:val="008D32B9"/>
    <w:rsid w:val="008D433B"/>
    <w:rsid w:val="008D4A16"/>
    <w:rsid w:val="008D74B9"/>
    <w:rsid w:val="008E14E0"/>
    <w:rsid w:val="008E16E8"/>
    <w:rsid w:val="008E183D"/>
    <w:rsid w:val="008E209A"/>
    <w:rsid w:val="008E37A1"/>
    <w:rsid w:val="008E45BC"/>
    <w:rsid w:val="008E566E"/>
    <w:rsid w:val="008E6CD8"/>
    <w:rsid w:val="008F6BCD"/>
    <w:rsid w:val="0090161A"/>
    <w:rsid w:val="00901EB6"/>
    <w:rsid w:val="009041F8"/>
    <w:rsid w:val="00904C62"/>
    <w:rsid w:val="00922BA8"/>
    <w:rsid w:val="00924DAC"/>
    <w:rsid w:val="00927058"/>
    <w:rsid w:val="009366D4"/>
    <w:rsid w:val="00942750"/>
    <w:rsid w:val="009450CE"/>
    <w:rsid w:val="009459BB"/>
    <w:rsid w:val="00947179"/>
    <w:rsid w:val="0095164B"/>
    <w:rsid w:val="00952D80"/>
    <w:rsid w:val="00954090"/>
    <w:rsid w:val="009573E7"/>
    <w:rsid w:val="00963E05"/>
    <w:rsid w:val="00964A45"/>
    <w:rsid w:val="00967843"/>
    <w:rsid w:val="00967D54"/>
    <w:rsid w:val="009701F4"/>
    <w:rsid w:val="00971028"/>
    <w:rsid w:val="0099045C"/>
    <w:rsid w:val="00993B84"/>
    <w:rsid w:val="00995307"/>
    <w:rsid w:val="00996483"/>
    <w:rsid w:val="00996F5A"/>
    <w:rsid w:val="009B041A"/>
    <w:rsid w:val="009C37C3"/>
    <w:rsid w:val="009C7C86"/>
    <w:rsid w:val="009D2FF7"/>
    <w:rsid w:val="009E7884"/>
    <w:rsid w:val="009E788A"/>
    <w:rsid w:val="009F0E08"/>
    <w:rsid w:val="00A00237"/>
    <w:rsid w:val="00A079AE"/>
    <w:rsid w:val="00A16220"/>
    <w:rsid w:val="00A1763D"/>
    <w:rsid w:val="00A17CEC"/>
    <w:rsid w:val="00A22AFA"/>
    <w:rsid w:val="00A26CBB"/>
    <w:rsid w:val="00A27EF0"/>
    <w:rsid w:val="00A31DE4"/>
    <w:rsid w:val="00A42361"/>
    <w:rsid w:val="00A50B20"/>
    <w:rsid w:val="00A51390"/>
    <w:rsid w:val="00A568C7"/>
    <w:rsid w:val="00A605DC"/>
    <w:rsid w:val="00A60D13"/>
    <w:rsid w:val="00A653E2"/>
    <w:rsid w:val="00A6560C"/>
    <w:rsid w:val="00A6562B"/>
    <w:rsid w:val="00A71372"/>
    <w:rsid w:val="00A71930"/>
    <w:rsid w:val="00A7223D"/>
    <w:rsid w:val="00A72745"/>
    <w:rsid w:val="00A76EFC"/>
    <w:rsid w:val="00A7707F"/>
    <w:rsid w:val="00A83066"/>
    <w:rsid w:val="00A8729A"/>
    <w:rsid w:val="00A87D50"/>
    <w:rsid w:val="00A91010"/>
    <w:rsid w:val="00A97F29"/>
    <w:rsid w:val="00AA702E"/>
    <w:rsid w:val="00AA7D26"/>
    <w:rsid w:val="00AB03EC"/>
    <w:rsid w:val="00AB0964"/>
    <w:rsid w:val="00AB5011"/>
    <w:rsid w:val="00AC374B"/>
    <w:rsid w:val="00AC7368"/>
    <w:rsid w:val="00AD0278"/>
    <w:rsid w:val="00AD16B9"/>
    <w:rsid w:val="00AE2BFF"/>
    <w:rsid w:val="00AE377D"/>
    <w:rsid w:val="00AE595D"/>
    <w:rsid w:val="00AF0EBA"/>
    <w:rsid w:val="00AF36CE"/>
    <w:rsid w:val="00B02C8A"/>
    <w:rsid w:val="00B06C1F"/>
    <w:rsid w:val="00B17FBD"/>
    <w:rsid w:val="00B2070C"/>
    <w:rsid w:val="00B21702"/>
    <w:rsid w:val="00B23F5D"/>
    <w:rsid w:val="00B30ECD"/>
    <w:rsid w:val="00B315A6"/>
    <w:rsid w:val="00B31813"/>
    <w:rsid w:val="00B33365"/>
    <w:rsid w:val="00B57B36"/>
    <w:rsid w:val="00B57E6F"/>
    <w:rsid w:val="00B67585"/>
    <w:rsid w:val="00B8686D"/>
    <w:rsid w:val="00B935ED"/>
    <w:rsid w:val="00B93F69"/>
    <w:rsid w:val="00BA734A"/>
    <w:rsid w:val="00BB1DDC"/>
    <w:rsid w:val="00BB5AF0"/>
    <w:rsid w:val="00BC30C9"/>
    <w:rsid w:val="00BC34DF"/>
    <w:rsid w:val="00BC6407"/>
    <w:rsid w:val="00BD077D"/>
    <w:rsid w:val="00BE3E58"/>
    <w:rsid w:val="00C01616"/>
    <w:rsid w:val="00C0162B"/>
    <w:rsid w:val="00C068ED"/>
    <w:rsid w:val="00C204E6"/>
    <w:rsid w:val="00C208E9"/>
    <w:rsid w:val="00C22E0C"/>
    <w:rsid w:val="00C3050A"/>
    <w:rsid w:val="00C345B1"/>
    <w:rsid w:val="00C40142"/>
    <w:rsid w:val="00C51A2A"/>
    <w:rsid w:val="00C52C3C"/>
    <w:rsid w:val="00C54529"/>
    <w:rsid w:val="00C57182"/>
    <w:rsid w:val="00C57863"/>
    <w:rsid w:val="00C640AF"/>
    <w:rsid w:val="00C655FD"/>
    <w:rsid w:val="00C66532"/>
    <w:rsid w:val="00C75407"/>
    <w:rsid w:val="00C76BC7"/>
    <w:rsid w:val="00C841C6"/>
    <w:rsid w:val="00C870A8"/>
    <w:rsid w:val="00C94434"/>
    <w:rsid w:val="00CA0D75"/>
    <w:rsid w:val="00CA1C95"/>
    <w:rsid w:val="00CA5A9C"/>
    <w:rsid w:val="00CB2339"/>
    <w:rsid w:val="00CC4C20"/>
    <w:rsid w:val="00CC4FD0"/>
    <w:rsid w:val="00CC7B78"/>
    <w:rsid w:val="00CD3517"/>
    <w:rsid w:val="00CD5FE2"/>
    <w:rsid w:val="00CE068C"/>
    <w:rsid w:val="00CE36A1"/>
    <w:rsid w:val="00CE7C68"/>
    <w:rsid w:val="00D02B4C"/>
    <w:rsid w:val="00D040C4"/>
    <w:rsid w:val="00D12AF7"/>
    <w:rsid w:val="00D20AD1"/>
    <w:rsid w:val="00D2582C"/>
    <w:rsid w:val="00D3385F"/>
    <w:rsid w:val="00D46B7E"/>
    <w:rsid w:val="00D52FFC"/>
    <w:rsid w:val="00D53E4D"/>
    <w:rsid w:val="00D566C1"/>
    <w:rsid w:val="00D57C84"/>
    <w:rsid w:val="00D6057D"/>
    <w:rsid w:val="00D71438"/>
    <w:rsid w:val="00D71640"/>
    <w:rsid w:val="00D836C5"/>
    <w:rsid w:val="00D84576"/>
    <w:rsid w:val="00D9076A"/>
    <w:rsid w:val="00DA1399"/>
    <w:rsid w:val="00DA24C6"/>
    <w:rsid w:val="00DA4D7B"/>
    <w:rsid w:val="00DB51A4"/>
    <w:rsid w:val="00DC2774"/>
    <w:rsid w:val="00DC45EF"/>
    <w:rsid w:val="00DC49F4"/>
    <w:rsid w:val="00DD271C"/>
    <w:rsid w:val="00DE0C13"/>
    <w:rsid w:val="00DE264A"/>
    <w:rsid w:val="00DF41EF"/>
    <w:rsid w:val="00DF5072"/>
    <w:rsid w:val="00E02D18"/>
    <w:rsid w:val="00E041E7"/>
    <w:rsid w:val="00E23CA1"/>
    <w:rsid w:val="00E343EF"/>
    <w:rsid w:val="00E409A8"/>
    <w:rsid w:val="00E47D61"/>
    <w:rsid w:val="00E50C12"/>
    <w:rsid w:val="00E65B91"/>
    <w:rsid w:val="00E7209D"/>
    <w:rsid w:val="00E72EAD"/>
    <w:rsid w:val="00E77223"/>
    <w:rsid w:val="00E83083"/>
    <w:rsid w:val="00E8528B"/>
    <w:rsid w:val="00E85B94"/>
    <w:rsid w:val="00E978D0"/>
    <w:rsid w:val="00EA4613"/>
    <w:rsid w:val="00EA7F91"/>
    <w:rsid w:val="00EB1523"/>
    <w:rsid w:val="00EB4B59"/>
    <w:rsid w:val="00EC0E49"/>
    <w:rsid w:val="00EC101F"/>
    <w:rsid w:val="00EC1D9F"/>
    <w:rsid w:val="00EC3F16"/>
    <w:rsid w:val="00EC72A8"/>
    <w:rsid w:val="00EC7A2C"/>
    <w:rsid w:val="00ED6AE5"/>
    <w:rsid w:val="00EE0131"/>
    <w:rsid w:val="00EE17B0"/>
    <w:rsid w:val="00EF06D9"/>
    <w:rsid w:val="00EF0982"/>
    <w:rsid w:val="00F3049E"/>
    <w:rsid w:val="00F30C64"/>
    <w:rsid w:val="00F32BA2"/>
    <w:rsid w:val="00F32CDB"/>
    <w:rsid w:val="00F33434"/>
    <w:rsid w:val="00F3348F"/>
    <w:rsid w:val="00F37280"/>
    <w:rsid w:val="00F41EE4"/>
    <w:rsid w:val="00F44B16"/>
    <w:rsid w:val="00F565FE"/>
    <w:rsid w:val="00F63A70"/>
    <w:rsid w:val="00F63D30"/>
    <w:rsid w:val="00F63D8C"/>
    <w:rsid w:val="00F70529"/>
    <w:rsid w:val="00F7534E"/>
    <w:rsid w:val="00F93EDF"/>
    <w:rsid w:val="00FA1802"/>
    <w:rsid w:val="00FA21D0"/>
    <w:rsid w:val="00FA5F5F"/>
    <w:rsid w:val="00FB730C"/>
    <w:rsid w:val="00FC005D"/>
    <w:rsid w:val="00FC2695"/>
    <w:rsid w:val="00FC3E03"/>
    <w:rsid w:val="00FC3FC1"/>
    <w:rsid w:val="00FC49BE"/>
    <w:rsid w:val="00FF1054"/>
    <w:rsid w:val="00FF4C0B"/>
  </w:rsids>
  <m:mathPr>
    <m:mathFont m:val="Cambria Math"/>
    <m:brkBin m:val="before"/>
    <m:brkBinSub m:val="--"/>
    <m:smallFrac m:val="0"/>
    <m:dispDef/>
    <m:lMargin m:val="0"/>
    <m:rMargin m:val="0"/>
    <m:defJc m:val="centerGroup"/>
    <m:wrapIndent m:val="1440"/>
    <m:intLim m:val="subSup"/>
    <m:naryLim m:val="undOvr"/>
  </m:mathPr>
  <w:themeFontLang w:val="it-IT"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unhideWhenUsed/>
    <w:rsid w:val="0003148D"/>
    <w:pPr>
      <w:spacing w:after="120"/>
    </w:pPr>
  </w:style>
  <w:style w:type="character" w:customStyle="1" w:styleId="CorpotestoCarattere">
    <w:name w:val="Corpo testo Carattere"/>
    <w:basedOn w:val="Carpredefinitoparagrafo"/>
    <w:link w:val="Corpotesto"/>
    <w:uiPriority w:val="99"/>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customStyle="1" w:styleId="Figure">
    <w:name w:val="Figure"/>
    <w:basedOn w:val="Normale"/>
    <w:next w:val="Normale"/>
    <w:rsid w:val="0062451B"/>
    <w:pPr>
      <w:keepNext/>
      <w:tabs>
        <w:tab w:val="clear" w:pos="7100"/>
      </w:tabs>
      <w:spacing w:before="120" w:after="120" w:line="240" w:lineRule="auto"/>
      <w:jc w:val="center"/>
    </w:pPr>
    <w:rPr>
      <w:rFonts w:ascii="Calibri" w:hAnsi="Calibri"/>
      <w:i/>
      <w:sz w:val="20"/>
    </w:rPr>
  </w:style>
  <w:style w:type="character" w:styleId="Menzionenonrisolta">
    <w:name w:val="Unresolved Mention"/>
    <w:basedOn w:val="Carpredefinitoparagrafo"/>
    <w:uiPriority w:val="99"/>
    <w:semiHidden/>
    <w:unhideWhenUsed/>
    <w:rsid w:val="00970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ara.mulone@unip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6</Pages>
  <Words>6531</Words>
  <Characters>37227</Characters>
  <Application>Microsoft Office Word</Application>
  <DocSecurity>0</DocSecurity>
  <Lines>310</Lines>
  <Paragraphs>87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43671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SANTO FABIO CORSINO</cp:lastModifiedBy>
  <cp:revision>168</cp:revision>
  <cp:lastPrinted>2015-05-12T18:31:00Z</cp:lastPrinted>
  <dcterms:created xsi:type="dcterms:W3CDTF">2026-02-10T11:50:00Z</dcterms:created>
  <dcterms:modified xsi:type="dcterms:W3CDTF">2026-02-27T09:03:00Z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12th edition - Harvard</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http://www.zotero.org/styles/international-journal-of-environmental-research-and-public-health</vt:lpwstr>
  </property>
  <property fmtid="{D5CDD505-2E9C-101B-9397-08002B2CF9AE}" pid="15" name="Mendeley Recent Style Name 5_1">
    <vt:lpwstr>International Journal of Environmental Research and Public Health</vt:lpwstr>
  </property>
  <property fmtid="{D5CDD505-2E9C-101B-9397-08002B2CF9AE}" pid="16" name="Mendeley Recent Style Id 6_1">
    <vt:lpwstr>http://www.zotero.org/styles/journal-of-environmental-management</vt:lpwstr>
  </property>
  <property fmtid="{D5CDD505-2E9C-101B-9397-08002B2CF9AE}" pid="17" name="Mendeley Recent Style Name 6_1">
    <vt:lpwstr>Journal of Environmental Management</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http://www.zotero.org/styles/springer-basic-brackets</vt:lpwstr>
  </property>
  <property fmtid="{D5CDD505-2E9C-101B-9397-08002B2CF9AE}" pid="21" name="Mendeley Recent Style Name 8_1">
    <vt:lpwstr>Springer - Basic (numeric, brackets)</vt:lpwstr>
  </property>
  <property fmtid="{D5CDD505-2E9C-101B-9397-08002B2CF9AE}" pid="22" name="Mendeley Recent Style Id 9_1">
    <vt:lpwstr>http://www.zotero.org/styles/water-research</vt:lpwstr>
  </property>
  <property fmtid="{D5CDD505-2E9C-101B-9397-08002B2CF9AE}" pid="23" name="Mendeley Recent Style Name 9_1">
    <vt:lpwstr>Water Research</vt:lpwstr>
  </property>
  <property fmtid="{D5CDD505-2E9C-101B-9397-08002B2CF9AE}" pid="24" name="Mendeley Document_1">
    <vt:lpwstr>True</vt:lpwstr>
  </property>
  <property fmtid="{D5CDD505-2E9C-101B-9397-08002B2CF9AE}" pid="25" name="Mendeley Unique User Id_1">
    <vt:lpwstr>a0b8b036-24a5-3b64-af7f-e6dffc6b716e</vt:lpwstr>
  </property>
  <property fmtid="{D5CDD505-2E9C-101B-9397-08002B2CF9AE}" pid="26" name="Mendeley Citation Style_1">
    <vt:lpwstr>http://www.zotero.org/styles/water-research</vt:lpwstr>
  </property>
</Properties>
</file>